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rFonts w:ascii="Aptos Display" w:hAnsi="Aptos Display"/>
          <w:b/>
          <w:color w:val="2D3924"/>
          <w:sz w:val="60"/>
        </w:rPr>
        <w:t>AI Governance Checklist</w:t>
      </w:r>
    </w:p>
    <w:p>
      <w:r>
        <w:rPr>
          <w:color w:val="5E605A"/>
          <w:sz w:val="24"/>
        </w:rPr>
        <w:t>Reusable LPM Knowledge Object for governance-layer AI ownership, evidence, controls, data boundaries, and lifecycle review</w:t>
      </w:r>
    </w:p>
    <w:p/>
    <w:tbl>
      <w:tblPr>
        <w:tblW w:type="auto" w:w="0"/>
        <w:tblLook w:firstColumn="1" w:firstRow="1" w:lastColumn="0" w:lastRow="0" w:noHBand="0" w:noVBand="1" w:val="04A0"/>
      </w:tblPr>
      <w:tblGrid>
        <w:gridCol w:w="10656"/>
      </w:tblGrid>
      <w:tr>
        <w:tc>
          <w:tcPr>
            <w:tcW w:type="dxa" w:w="10656"/>
            <w:shd w:fill="D9E8C7"/>
          </w:tcPr>
          <w:p>
            <w:r>
              <w:rPr>
                <w:color w:val="1B1C19"/>
                <w:sz w:val="19"/>
              </w:rPr>
              <w:t>Use this AI Governance Checklist to decide whether an AI use case is safe, owned, evidenced, controlled, monitored, and ready to proceed. The checklist prevents AI work from moving forward as disconnected pilots, shadow automation, vendor enthusiasm, or executive theater. It ties each AI initiative to accountable ownership, decision rights, data boundaries, evidence standards, control coverage, human review, monitoring, and lifecycle governance.</w:t>
            </w:r>
          </w:p>
        </w:tc>
      </w:tr>
    </w:tbl>
    <w:p>
      <w:pPr>
        <w:spacing w:after="100"/>
      </w:pPr>
      <w:r>
        <w:rPr>
          <w:rFonts w:ascii="Aptos" w:hAnsi="Aptos"/>
          <w:color w:val="1B1C19"/>
          <w:sz w:val="17"/>
        </w:rPr>
        <w:t>Built for three company profiles: 500+ employees, 5,000+ employees, and 10,000+ employees. Use it as a website artifact, AI governance review guide, pilot readiness checklist, and future Lapemo guided skill.</w:t>
      </w:r>
    </w:p>
    <w:p>
      <w:pPr>
        <w:pStyle w:val="Heading1"/>
      </w:pPr>
      <w:r>
        <w:rPr>
          <w:rFonts w:ascii="Aptos Display" w:hAnsi="Aptos Display"/>
          <w:color w:val="2D3924"/>
        </w:rPr>
        <w:t>Metadata</w:t>
      </w:r>
    </w:p>
    <w:tbl>
      <w:tblPr>
        <w:tblStyle w:val="TableGrid"/>
        <w:tblW w:type="auto" w:w="0"/>
        <w:jc w:val="center"/>
        <w:tblLook w:firstColumn="1" w:firstRow="1" w:lastColumn="0" w:lastRow="0" w:noHBand="0" w:noVBand="1" w:val="04A0"/>
      </w:tblPr>
      <w:tblGrid>
        <w:gridCol w:w="5328"/>
        <w:gridCol w:w="5328"/>
      </w:tblGrid>
      <w:tr>
        <w:trPr>
          <w:cantSplit/>
        </w:trPr>
        <w:tc>
          <w:tcPr>
            <w:tcW w:type="dxa" w:w="1800"/>
            <w:vAlign w:val="top"/>
            <w:shd w:fill="2D3924"/>
          </w:tcPr>
          <w:p>
            <w:pPr>
              <w:spacing w:after="20" w:before="0" w:line="240" w:lineRule="auto"/>
            </w:pPr>
            <w:r>
              <w:rPr>
                <w:b/>
                <w:color w:val="FFFFFF"/>
                <w:sz w:val="15"/>
              </w:rPr>
              <w:t>Metadata</w:t>
            </w:r>
          </w:p>
        </w:tc>
        <w:tc>
          <w:tcPr>
            <w:tcW w:type="dxa" w:w="7200"/>
            <w:vAlign w:val="top"/>
            <w:shd w:fill="2D3924"/>
          </w:tcPr>
          <w:p>
            <w:pPr>
              <w:spacing w:after="20" w:before="0" w:line="240" w:lineRule="auto"/>
            </w:pPr>
            <w:r>
              <w:rPr>
                <w:b/>
                <w:color w:val="FFFFFF"/>
                <w:sz w:val="15"/>
              </w:rPr>
              <w:t>Value</w:t>
            </w:r>
          </w:p>
        </w:tc>
      </w:tr>
      <w:tr>
        <w:trPr>
          <w:cantSplit/>
        </w:trPr>
        <w:tc>
          <w:tcPr>
            <w:tcW w:type="dxa" w:w="1800"/>
            <w:vAlign w:val="top"/>
          </w:tcPr>
          <w:p>
            <w:pPr>
              <w:spacing w:after="20" w:before="0" w:line="240" w:lineRule="auto"/>
            </w:pPr>
            <w:r>
              <w:rPr>
                <w:color w:val="1B1C19"/>
                <w:sz w:val="14"/>
              </w:rPr>
              <w:t>Object type</w:t>
            </w:r>
          </w:p>
        </w:tc>
        <w:tc>
          <w:tcPr>
            <w:tcW w:type="dxa" w:w="7200"/>
            <w:vAlign w:val="top"/>
          </w:tcPr>
          <w:p>
            <w:pPr>
              <w:spacing w:after="20" w:before="0" w:line="240" w:lineRule="auto"/>
            </w:pPr>
            <w:r>
              <w:rPr>
                <w:color w:val="1B1C19"/>
                <w:sz w:val="14"/>
              </w:rPr>
              <w:t>LPM Knowledge Object</w:t>
            </w:r>
          </w:p>
        </w:tc>
      </w:tr>
      <w:tr>
        <w:trPr>
          <w:cantSplit/>
        </w:trPr>
        <w:tc>
          <w:tcPr>
            <w:tcW w:type="dxa" w:w="1800"/>
            <w:vAlign w:val="top"/>
            <w:shd w:fill="F0EEE9"/>
          </w:tcPr>
          <w:p>
            <w:pPr>
              <w:spacing w:after="20" w:before="0" w:line="240" w:lineRule="auto"/>
            </w:pPr>
            <w:r>
              <w:rPr>
                <w:color w:val="1B1C19"/>
                <w:sz w:val="14"/>
              </w:rPr>
              <w:t>Primary LPM layer</w:t>
            </w:r>
          </w:p>
        </w:tc>
        <w:tc>
          <w:tcPr>
            <w:tcW w:type="dxa" w:w="7200"/>
            <w:vAlign w:val="top"/>
            <w:shd w:fill="F0EEE9"/>
          </w:tcPr>
          <w:p>
            <w:pPr>
              <w:spacing w:after="20" w:before="0" w:line="240" w:lineRule="auto"/>
            </w:pPr>
            <w:r>
              <w:rPr>
                <w:color w:val="1B1C19"/>
                <w:sz w:val="14"/>
              </w:rPr>
              <w:t>Governance Architecture</w:t>
            </w:r>
          </w:p>
        </w:tc>
      </w:tr>
      <w:tr>
        <w:trPr>
          <w:cantSplit/>
        </w:trPr>
        <w:tc>
          <w:tcPr>
            <w:tcW w:type="dxa" w:w="1800"/>
            <w:vAlign w:val="top"/>
          </w:tcPr>
          <w:p>
            <w:pPr>
              <w:spacing w:after="20" w:before="0" w:line="240" w:lineRule="auto"/>
            </w:pPr>
            <w:r>
              <w:rPr>
                <w:color w:val="1B1C19"/>
                <w:sz w:val="14"/>
              </w:rPr>
              <w:t>Connected layers</w:t>
            </w:r>
          </w:p>
        </w:tc>
        <w:tc>
          <w:tcPr>
            <w:tcW w:type="dxa" w:w="7200"/>
            <w:vAlign w:val="top"/>
          </w:tcPr>
          <w:p>
            <w:pPr>
              <w:spacing w:after="20" w:before="0" w:line="240" w:lineRule="auto"/>
            </w:pPr>
            <w:r>
              <w:rPr>
                <w:color w:val="1B1C19"/>
                <w:sz w:val="14"/>
              </w:rPr>
              <w:t>Ownership Map, Decision Architecture, Information Ecology, Platform Structure, Control Map, Risk Acceptance Register, AI Amplification</w:t>
            </w:r>
          </w:p>
        </w:tc>
      </w:tr>
      <w:tr>
        <w:trPr>
          <w:cantSplit/>
        </w:trPr>
        <w:tc>
          <w:tcPr>
            <w:tcW w:type="dxa" w:w="1800"/>
            <w:vAlign w:val="top"/>
            <w:shd w:fill="F0EEE9"/>
          </w:tcPr>
          <w:p>
            <w:pPr>
              <w:spacing w:after="20" w:before="0" w:line="240" w:lineRule="auto"/>
            </w:pPr>
            <w:r>
              <w:rPr>
                <w:color w:val="1B1C19"/>
                <w:sz w:val="14"/>
              </w:rPr>
              <w:t>Primary use</w:t>
            </w:r>
          </w:p>
        </w:tc>
        <w:tc>
          <w:tcPr>
            <w:tcW w:type="dxa" w:w="7200"/>
            <w:vAlign w:val="top"/>
            <w:shd w:fill="F0EEE9"/>
          </w:tcPr>
          <w:p>
            <w:pPr>
              <w:spacing w:after="20" w:before="0" w:line="240" w:lineRule="auto"/>
            </w:pPr>
            <w:r>
              <w:rPr>
                <w:color w:val="1B1C19"/>
                <w:sz w:val="14"/>
              </w:rPr>
              <w:t>Validate whether an AI initiative, model, agent, workflow, or AI-assisted operating process is governed enough to design, pilot, launch, scale, or retire.</w:t>
            </w:r>
          </w:p>
        </w:tc>
      </w:tr>
      <w:tr>
        <w:trPr>
          <w:cantSplit/>
        </w:trPr>
        <w:tc>
          <w:tcPr>
            <w:tcW w:type="dxa" w:w="1800"/>
            <w:vAlign w:val="top"/>
          </w:tcPr>
          <w:p>
            <w:pPr>
              <w:spacing w:after="20" w:before="0" w:line="240" w:lineRule="auto"/>
            </w:pPr>
            <w:r>
              <w:rPr>
                <w:color w:val="1B1C19"/>
                <w:sz w:val="14"/>
              </w:rPr>
              <w:t>Website use</w:t>
            </w:r>
          </w:p>
        </w:tc>
        <w:tc>
          <w:tcPr>
            <w:tcW w:type="dxa" w:w="7200"/>
            <w:vAlign w:val="top"/>
          </w:tcPr>
          <w:p>
            <w:pPr>
              <w:spacing w:after="20" w:before="0" w:line="240" w:lineRule="auto"/>
            </w:pPr>
            <w:r>
              <w:rPr>
                <w:color w:val="1B1C19"/>
                <w:sz w:val="14"/>
              </w:rPr>
              <w:t>Downloadable governance checklist, AI readiness resource, executive governance guide, JSON object for Lapemo ingestion, and future guided skill.</w:t>
            </w:r>
          </w:p>
        </w:tc>
      </w:tr>
      <w:tr>
        <w:trPr>
          <w:cantSplit/>
        </w:trPr>
        <w:tc>
          <w:tcPr>
            <w:tcW w:type="dxa" w:w="1800"/>
            <w:vAlign w:val="top"/>
            <w:shd w:fill="F0EEE9"/>
          </w:tcPr>
          <w:p>
            <w:pPr>
              <w:spacing w:after="20" w:before="0" w:line="240" w:lineRule="auto"/>
            </w:pPr>
            <w:r>
              <w:rPr>
                <w:color w:val="1B1C19"/>
                <w:sz w:val="14"/>
              </w:rPr>
              <w:t>Version</w:t>
            </w:r>
          </w:p>
        </w:tc>
        <w:tc>
          <w:tcPr>
            <w:tcW w:type="dxa" w:w="7200"/>
            <w:vAlign w:val="top"/>
            <w:shd w:fill="F0EEE9"/>
          </w:tcPr>
          <w:p>
            <w:pPr>
              <w:spacing w:after="20" w:before="0" w:line="240" w:lineRule="auto"/>
            </w:pPr>
            <w:r>
              <w:rPr>
                <w:color w:val="1B1C19"/>
                <w:sz w:val="14"/>
              </w:rPr>
              <w:t>1.0</w:t>
            </w:r>
          </w:p>
        </w:tc>
      </w:tr>
      <w:tr>
        <w:trPr>
          <w:cantSplit/>
        </w:trPr>
        <w:tc>
          <w:tcPr>
            <w:tcW w:type="dxa" w:w="1800"/>
            <w:vAlign w:val="top"/>
          </w:tcPr>
          <w:p>
            <w:pPr>
              <w:spacing w:after="20" w:before="0" w:line="240" w:lineRule="auto"/>
            </w:pPr>
            <w:r>
              <w:rPr>
                <w:color w:val="1B1C19"/>
                <w:sz w:val="14"/>
              </w:rPr>
              <w:t>Owner</w:t>
            </w:r>
          </w:p>
        </w:tc>
        <w:tc>
          <w:tcPr>
            <w:tcW w:type="dxa" w:w="7200"/>
            <w:vAlign w:val="top"/>
          </w:tcPr>
          <w:p>
            <w:pPr>
              <w:spacing w:after="20" w:before="0" w:line="240" w:lineRule="auto"/>
            </w:pPr>
            <w:r>
              <w:rPr>
                <w:color w:val="1B1C19"/>
                <w:sz w:val="14"/>
              </w:rPr>
              <w:t>LPM / Lapemo</w:t>
            </w:r>
          </w:p>
        </w:tc>
      </w:tr>
      <w:tr>
        <w:trPr>
          <w:cantSplit/>
        </w:trPr>
        <w:tc>
          <w:tcPr>
            <w:tcW w:type="dxa" w:w="1800"/>
            <w:vAlign w:val="top"/>
            <w:shd w:fill="F0EEE9"/>
          </w:tcPr>
          <w:p>
            <w:pPr>
              <w:spacing w:after="20" w:before="0" w:line="240" w:lineRule="auto"/>
            </w:pPr>
            <w:r>
              <w:rPr>
                <w:color w:val="1B1C19"/>
                <w:sz w:val="14"/>
              </w:rPr>
              <w:t>Last reviewed</w:t>
            </w:r>
          </w:p>
        </w:tc>
        <w:tc>
          <w:tcPr>
            <w:tcW w:type="dxa" w:w="7200"/>
            <w:vAlign w:val="top"/>
            <w:shd w:fill="F0EEE9"/>
          </w:tcPr>
          <w:p>
            <w:pPr>
              <w:spacing w:after="20" w:before="0" w:line="240" w:lineRule="auto"/>
            </w:pPr>
            <w:r>
              <w:rPr>
                <w:color w:val="1B1C19"/>
                <w:sz w:val="14"/>
              </w:rPr>
              <w:t>2026-06-24</w:t>
            </w:r>
          </w:p>
        </w:tc>
      </w:tr>
    </w:tbl>
    <w:p/>
    <w:p>
      <w:pPr>
        <w:pStyle w:val="Heading1"/>
      </w:pPr>
      <w:r>
        <w:rPr>
          <w:rFonts w:ascii="Aptos Display" w:hAnsi="Aptos Display"/>
          <w:color w:val="2D3924"/>
        </w:rPr>
        <w:t>Core principles</w:t>
      </w:r>
    </w:p>
    <w:tbl>
      <w:tblPr>
        <w:tblStyle w:val="TableGrid"/>
        <w:tblW w:type="auto" w:w="0"/>
        <w:jc w:val="center"/>
        <w:tblLook w:firstColumn="1" w:firstRow="1" w:lastColumn="0" w:lastRow="0" w:noHBand="0" w:noVBand="1" w:val="04A0"/>
      </w:tblPr>
      <w:tblGrid>
        <w:gridCol w:w="5328"/>
        <w:gridCol w:w="5328"/>
      </w:tblGrid>
      <w:tr>
        <w:trPr>
          <w:cantSplit/>
        </w:trPr>
        <w:tc>
          <w:tcPr>
            <w:tcW w:type="dxa" w:w="2300"/>
            <w:vAlign w:val="top"/>
            <w:shd w:fill="2D3924"/>
          </w:tcPr>
          <w:p>
            <w:pPr>
              <w:spacing w:after="20" w:before="0" w:line="240" w:lineRule="auto"/>
            </w:pPr>
            <w:r>
              <w:rPr>
                <w:b/>
                <w:color w:val="FFFFFF"/>
                <w:sz w:val="15"/>
              </w:rPr>
              <w:t>Principle</w:t>
            </w:r>
          </w:p>
        </w:tc>
        <w:tc>
          <w:tcPr>
            <w:tcW w:type="dxa" w:w="6700"/>
            <w:vAlign w:val="top"/>
            <w:shd w:fill="2D3924"/>
          </w:tcPr>
          <w:p>
            <w:pPr>
              <w:spacing w:after="20" w:before="0" w:line="240" w:lineRule="auto"/>
            </w:pPr>
            <w:r>
              <w:rPr>
                <w:b/>
                <w:color w:val="FFFFFF"/>
                <w:sz w:val="15"/>
              </w:rPr>
              <w:t>Meaning</w:t>
            </w:r>
          </w:p>
        </w:tc>
      </w:tr>
      <w:tr>
        <w:trPr>
          <w:cantSplit/>
        </w:trPr>
        <w:tc>
          <w:tcPr>
            <w:tcW w:type="dxa" w:w="2300"/>
            <w:vAlign w:val="top"/>
          </w:tcPr>
          <w:p>
            <w:pPr>
              <w:spacing w:after="20" w:before="0" w:line="240" w:lineRule="auto"/>
            </w:pPr>
            <w:r>
              <w:rPr>
                <w:color w:val="1B1C19"/>
                <w:sz w:val="14"/>
              </w:rPr>
              <w:t>AI must have an accountable owner</w:t>
            </w:r>
          </w:p>
        </w:tc>
        <w:tc>
          <w:tcPr>
            <w:tcW w:type="dxa" w:w="6700"/>
            <w:vAlign w:val="top"/>
          </w:tcPr>
          <w:p>
            <w:pPr>
              <w:spacing w:after="20" w:before="0" w:line="240" w:lineRule="auto"/>
            </w:pPr>
            <w:r>
              <w:rPr>
                <w:color w:val="1B1C19"/>
                <w:sz w:val="14"/>
              </w:rPr>
              <w:t>Every AI use case, model, agent, workflow, prompt, or automation must have one accountable business owner and clear supporting technical, data, risk, and control owners.</w:t>
            </w:r>
          </w:p>
        </w:tc>
      </w:tr>
      <w:tr>
        <w:trPr>
          <w:cantSplit/>
        </w:trPr>
        <w:tc>
          <w:tcPr>
            <w:tcW w:type="dxa" w:w="2300"/>
            <w:vAlign w:val="top"/>
            <w:shd w:fill="F0EEE9"/>
          </w:tcPr>
          <w:p>
            <w:pPr>
              <w:spacing w:after="20" w:before="0" w:line="240" w:lineRule="auto"/>
            </w:pPr>
            <w:r>
              <w:rPr>
                <w:color w:val="1B1C19"/>
                <w:sz w:val="14"/>
              </w:rPr>
              <w:t>AI cannot outrun decision rights</w:t>
            </w:r>
          </w:p>
        </w:tc>
        <w:tc>
          <w:tcPr>
            <w:tcW w:type="dxa" w:w="6700"/>
            <w:vAlign w:val="top"/>
            <w:shd w:fill="F0EEE9"/>
          </w:tcPr>
          <w:p>
            <w:pPr>
              <w:spacing w:after="20" w:before="0" w:line="240" w:lineRule="auto"/>
            </w:pPr>
            <w:r>
              <w:rPr>
                <w:color w:val="1B1C19"/>
                <w:sz w:val="14"/>
              </w:rPr>
              <w:t>AI may recommend, draft, retrieve, summarize, score, route, trigger, or act only within explicit decision rights and approval boundaries.</w:t>
            </w:r>
          </w:p>
        </w:tc>
      </w:tr>
      <w:tr>
        <w:trPr>
          <w:cantSplit/>
        </w:trPr>
        <w:tc>
          <w:tcPr>
            <w:tcW w:type="dxa" w:w="2300"/>
            <w:vAlign w:val="top"/>
          </w:tcPr>
          <w:p>
            <w:pPr>
              <w:spacing w:after="20" w:before="0" w:line="240" w:lineRule="auto"/>
            </w:pPr>
            <w:r>
              <w:rPr>
                <w:color w:val="1B1C19"/>
                <w:sz w:val="14"/>
              </w:rPr>
              <w:t>Data boundaries are governance boundaries</w:t>
            </w:r>
          </w:p>
        </w:tc>
        <w:tc>
          <w:tcPr>
            <w:tcW w:type="dxa" w:w="6700"/>
            <w:vAlign w:val="top"/>
          </w:tcPr>
          <w:p>
            <w:pPr>
              <w:spacing w:after="20" w:before="0" w:line="240" w:lineRule="auto"/>
            </w:pPr>
            <w:r>
              <w:rPr>
                <w:color w:val="1B1C19"/>
                <w:sz w:val="14"/>
              </w:rPr>
              <w:t>AI must only use approved sources, approved data classes, defined retrieval scope, and clear source-of-truth rules.</w:t>
            </w:r>
          </w:p>
        </w:tc>
      </w:tr>
      <w:tr>
        <w:trPr>
          <w:cantSplit/>
        </w:trPr>
        <w:tc>
          <w:tcPr>
            <w:tcW w:type="dxa" w:w="2300"/>
            <w:vAlign w:val="top"/>
            <w:shd w:fill="F0EEE9"/>
          </w:tcPr>
          <w:p>
            <w:pPr>
              <w:spacing w:after="20" w:before="0" w:line="240" w:lineRule="auto"/>
            </w:pPr>
            <w:r>
              <w:rPr>
                <w:color w:val="1B1C19"/>
                <w:sz w:val="14"/>
              </w:rPr>
              <w:t>Evidence must beat confidence</w:t>
            </w:r>
          </w:p>
        </w:tc>
        <w:tc>
          <w:tcPr>
            <w:tcW w:type="dxa" w:w="6700"/>
            <w:vAlign w:val="top"/>
            <w:shd w:fill="F0EEE9"/>
          </w:tcPr>
          <w:p>
            <w:pPr>
              <w:spacing w:after="20" w:before="0" w:line="240" w:lineRule="auto"/>
            </w:pPr>
            <w:r>
              <w:rPr>
                <w:color w:val="1B1C19"/>
                <w:sz w:val="14"/>
              </w:rPr>
              <w:t>AI confidence, fluent summaries, or model scores are not enough. Claims must connect to source, freshness, lineage, owner, and validation evidence.</w:t>
            </w:r>
          </w:p>
        </w:tc>
      </w:tr>
      <w:tr>
        <w:trPr>
          <w:cantSplit/>
        </w:trPr>
        <w:tc>
          <w:tcPr>
            <w:tcW w:type="dxa" w:w="2300"/>
            <w:vAlign w:val="top"/>
          </w:tcPr>
          <w:p>
            <w:pPr>
              <w:spacing w:after="20" w:before="0" w:line="240" w:lineRule="auto"/>
            </w:pPr>
            <w:r>
              <w:rPr>
                <w:color w:val="1B1C19"/>
                <w:sz w:val="14"/>
              </w:rPr>
              <w:t>Human review must be designed, not assumed</w:t>
            </w:r>
          </w:p>
        </w:tc>
        <w:tc>
          <w:tcPr>
            <w:tcW w:type="dxa" w:w="6700"/>
            <w:vAlign w:val="top"/>
          </w:tcPr>
          <w:p>
            <w:pPr>
              <w:spacing w:after="20" w:before="0" w:line="240" w:lineRule="auto"/>
            </w:pPr>
            <w:r>
              <w:rPr>
                <w:color w:val="1B1C19"/>
                <w:sz w:val="14"/>
              </w:rPr>
              <w:t>Human-in-the-loop rules must specify who reviews, when review happens, what evidence is reviewed, and what authority the reviewer has.</w:t>
            </w:r>
          </w:p>
        </w:tc>
      </w:tr>
      <w:tr>
        <w:trPr>
          <w:cantSplit/>
        </w:trPr>
        <w:tc>
          <w:tcPr>
            <w:tcW w:type="dxa" w:w="2300"/>
            <w:vAlign w:val="top"/>
            <w:shd w:fill="F0EEE9"/>
          </w:tcPr>
          <w:p>
            <w:pPr>
              <w:spacing w:after="20" w:before="0" w:line="240" w:lineRule="auto"/>
            </w:pPr>
            <w:r>
              <w:rPr>
                <w:color w:val="1B1C19"/>
                <w:sz w:val="14"/>
              </w:rPr>
              <w:t>Controls must be mapped before scale</w:t>
            </w:r>
          </w:p>
        </w:tc>
        <w:tc>
          <w:tcPr>
            <w:tcW w:type="dxa" w:w="6700"/>
            <w:vAlign w:val="top"/>
            <w:shd w:fill="F0EEE9"/>
          </w:tcPr>
          <w:p>
            <w:pPr>
              <w:spacing w:after="20" w:before="0" w:line="240" w:lineRule="auto"/>
            </w:pPr>
            <w:r>
              <w:rPr>
                <w:color w:val="1B1C19"/>
                <w:sz w:val="14"/>
              </w:rPr>
              <w:t>Controls, monitoring, logs, thresholds, overrides, escalation paths, and kill-switch ownership must be defined before AI impacts customers, employees, financials, compliance, or enterprise decisions.</w:t>
            </w:r>
          </w:p>
        </w:tc>
      </w:tr>
      <w:tr>
        <w:trPr>
          <w:cantSplit/>
        </w:trPr>
        <w:tc>
          <w:tcPr>
            <w:tcW w:type="dxa" w:w="2300"/>
            <w:vAlign w:val="top"/>
          </w:tcPr>
          <w:p>
            <w:pPr>
              <w:spacing w:after="20" w:before="0" w:line="240" w:lineRule="auto"/>
            </w:pPr>
            <w:r>
              <w:rPr>
                <w:color w:val="1B1C19"/>
                <w:sz w:val="14"/>
              </w:rPr>
              <w:t>AI governance must be lifecycle-based</w:t>
            </w:r>
          </w:p>
        </w:tc>
        <w:tc>
          <w:tcPr>
            <w:tcW w:type="dxa" w:w="6700"/>
            <w:vAlign w:val="top"/>
          </w:tcPr>
          <w:p>
            <w:pPr>
              <w:spacing w:after="20" w:before="0" w:line="240" w:lineRule="auto"/>
            </w:pPr>
            <w:r>
              <w:rPr>
                <w:color w:val="1B1C19"/>
                <w:sz w:val="14"/>
              </w:rPr>
              <w:t>Governance does not stop at launch. AI use must be reviewed, monitored, updated, superseded, restricted, or retired as data, models, vendors, policies, and operating conditions change.</w:t>
            </w:r>
          </w:p>
        </w:tc>
      </w:tr>
    </w:tbl>
    <w:p/>
    <w:p>
      <w:pPr>
        <w:pStyle w:val="Heading1"/>
      </w:pPr>
      <w:r>
        <w:rPr>
          <w:rFonts w:ascii="Aptos Display" w:hAnsi="Aptos Display"/>
          <w:color w:val="2D3924"/>
        </w:rPr>
        <w:t>Required fields</w:t>
      </w:r>
    </w:p>
    <w:tbl>
      <w:tblPr>
        <w:tblStyle w:val="TableGrid"/>
        <w:tblW w:type="auto" w:w="0"/>
        <w:jc w:val="center"/>
        <w:tblLook w:firstColumn="1" w:firstRow="1" w:lastColumn="0" w:lastRow="0" w:noHBand="0" w:noVBand="1" w:val="04A0"/>
      </w:tblPr>
      <w:tblGrid>
        <w:gridCol w:w="3552"/>
        <w:gridCol w:w="3552"/>
        <w:gridCol w:w="3552"/>
      </w:tblGrid>
      <w:tr>
        <w:trPr>
          <w:cantSplit/>
        </w:trPr>
        <w:tc>
          <w:tcPr>
            <w:tcW w:type="dxa" w:w="1900"/>
            <w:vAlign w:val="top"/>
            <w:shd w:fill="2D3924"/>
          </w:tcPr>
          <w:p>
            <w:pPr>
              <w:spacing w:after="20" w:before="0" w:line="240" w:lineRule="auto"/>
            </w:pPr>
            <w:r>
              <w:rPr>
                <w:b/>
                <w:color w:val="FFFFFF"/>
                <w:sz w:val="15"/>
              </w:rPr>
              <w:t>Field</w:t>
            </w:r>
          </w:p>
        </w:tc>
        <w:tc>
          <w:tcPr>
            <w:tcW w:type="dxa" w:w="6000"/>
            <w:vAlign w:val="top"/>
            <w:shd w:fill="2D3924"/>
          </w:tcPr>
          <w:p>
            <w:pPr>
              <w:spacing w:after="20" w:before="0" w:line="240" w:lineRule="auto"/>
            </w:pPr>
            <w:r>
              <w:rPr>
                <w:b/>
                <w:color w:val="FFFFFF"/>
                <w:sz w:val="15"/>
              </w:rPr>
              <w:t>Definition</w:t>
            </w:r>
          </w:p>
        </w:tc>
        <w:tc>
          <w:tcPr>
            <w:tcW w:type="dxa" w:w="1400"/>
            <w:vAlign w:val="top"/>
            <w:shd w:fill="2D3924"/>
          </w:tcPr>
          <w:p>
            <w:pPr>
              <w:spacing w:after="20" w:before="0" w:line="240" w:lineRule="auto"/>
            </w:pPr>
            <w:r>
              <w:rPr>
                <w:b/>
                <w:color w:val="FFFFFF"/>
                <w:sz w:val="15"/>
              </w:rPr>
              <w:t>Required</w:t>
            </w:r>
          </w:p>
        </w:tc>
      </w:tr>
      <w:tr>
        <w:trPr>
          <w:cantSplit/>
        </w:trPr>
        <w:tc>
          <w:tcPr>
            <w:tcW w:type="dxa" w:w="1900"/>
            <w:vAlign w:val="top"/>
          </w:tcPr>
          <w:p>
            <w:pPr>
              <w:spacing w:after="20" w:before="0" w:line="240" w:lineRule="auto"/>
            </w:pPr>
            <w:r>
              <w:rPr>
                <w:color w:val="1B1C19"/>
                <w:sz w:val="14"/>
              </w:rPr>
              <w:t>AI use case ID</w:t>
            </w:r>
          </w:p>
        </w:tc>
        <w:tc>
          <w:tcPr>
            <w:tcW w:type="dxa" w:w="6000"/>
            <w:vAlign w:val="top"/>
          </w:tcPr>
          <w:p>
            <w:pPr>
              <w:spacing w:after="20" w:before="0" w:line="240" w:lineRule="auto"/>
            </w:pPr>
            <w:r>
              <w:rPr>
                <w:color w:val="1B1C19"/>
                <w:sz w:val="14"/>
              </w:rPr>
              <w:t>Unique identifier for the AI initiative, model, agent, automation, workflow, prompt library, or AI-assisted process</w:t>
            </w:r>
          </w:p>
        </w:tc>
        <w:tc>
          <w:tcPr>
            <w:tcW w:type="dxa" w:w="1400"/>
            <w:vAlign w:val="top"/>
          </w:tcPr>
          <w:p>
            <w:pPr>
              <w:spacing w:after="20" w:before="0" w:line="240" w:lineRule="auto"/>
            </w:pPr>
            <w:r>
              <w:rPr>
                <w:color w:val="1B1C19"/>
                <w:sz w:val="14"/>
              </w:rPr>
              <w:t>Yes</w:t>
            </w:r>
          </w:p>
        </w:tc>
      </w:tr>
      <w:tr>
        <w:trPr>
          <w:cantSplit/>
        </w:trPr>
        <w:tc>
          <w:tcPr>
            <w:tcW w:type="dxa" w:w="1900"/>
            <w:vAlign w:val="top"/>
            <w:shd w:fill="F0EEE9"/>
          </w:tcPr>
          <w:p>
            <w:pPr>
              <w:spacing w:after="20" w:before="0" w:line="240" w:lineRule="auto"/>
            </w:pPr>
            <w:r>
              <w:rPr>
                <w:color w:val="1B1C19"/>
                <w:sz w:val="14"/>
              </w:rPr>
              <w:t>AI use case name</w:t>
            </w:r>
          </w:p>
        </w:tc>
        <w:tc>
          <w:tcPr>
            <w:tcW w:type="dxa" w:w="6000"/>
            <w:vAlign w:val="top"/>
            <w:shd w:fill="F0EEE9"/>
          </w:tcPr>
          <w:p>
            <w:pPr>
              <w:spacing w:after="20" w:before="0" w:line="240" w:lineRule="auto"/>
            </w:pPr>
            <w:r>
              <w:rPr>
                <w:color w:val="1B1C19"/>
                <w:sz w:val="14"/>
              </w:rPr>
              <w:t>Plain-language name of the AI use case or governed AI capability</w:t>
            </w:r>
          </w:p>
        </w:tc>
        <w:tc>
          <w:tcPr>
            <w:tcW w:type="dxa" w:w="1400"/>
            <w:vAlign w:val="top"/>
            <w:shd w:fill="F0EEE9"/>
          </w:tcPr>
          <w:p>
            <w:pPr>
              <w:spacing w:after="20" w:before="0" w:line="240" w:lineRule="auto"/>
            </w:pPr>
            <w:r>
              <w:rPr>
                <w:color w:val="1B1C19"/>
                <w:sz w:val="14"/>
              </w:rPr>
              <w:t>Yes</w:t>
            </w:r>
          </w:p>
        </w:tc>
      </w:tr>
      <w:tr>
        <w:trPr>
          <w:cantSplit/>
        </w:trPr>
        <w:tc>
          <w:tcPr>
            <w:tcW w:type="dxa" w:w="1900"/>
            <w:vAlign w:val="top"/>
          </w:tcPr>
          <w:p>
            <w:pPr>
              <w:spacing w:after="20" w:before="0" w:line="240" w:lineRule="auto"/>
            </w:pPr>
            <w:r>
              <w:rPr>
                <w:color w:val="1B1C19"/>
                <w:sz w:val="14"/>
              </w:rPr>
              <w:t>Business purpose</w:t>
            </w:r>
          </w:p>
        </w:tc>
        <w:tc>
          <w:tcPr>
            <w:tcW w:type="dxa" w:w="6000"/>
            <w:vAlign w:val="top"/>
          </w:tcPr>
          <w:p>
            <w:pPr>
              <w:spacing w:after="20" w:before="0" w:line="240" w:lineRule="auto"/>
            </w:pPr>
            <w:r>
              <w:rPr>
                <w:color w:val="1B1C19"/>
                <w:sz w:val="14"/>
              </w:rPr>
              <w:t>Outcome, problem, decision, workflow, control, or customer/employee need the AI use case supports</w:t>
            </w:r>
          </w:p>
        </w:tc>
        <w:tc>
          <w:tcPr>
            <w:tcW w:type="dxa" w:w="1400"/>
            <w:vAlign w:val="top"/>
          </w:tcPr>
          <w:p>
            <w:pPr>
              <w:spacing w:after="20" w:before="0" w:line="240" w:lineRule="auto"/>
            </w:pPr>
            <w:r>
              <w:rPr>
                <w:color w:val="1B1C19"/>
                <w:sz w:val="14"/>
              </w:rPr>
              <w:t>Yes</w:t>
            </w:r>
          </w:p>
        </w:tc>
      </w:tr>
      <w:tr>
        <w:trPr>
          <w:cantSplit/>
        </w:trPr>
        <w:tc>
          <w:tcPr>
            <w:tcW w:type="dxa" w:w="1900"/>
            <w:vAlign w:val="top"/>
            <w:shd w:fill="F0EEE9"/>
          </w:tcPr>
          <w:p>
            <w:pPr>
              <w:spacing w:after="20" w:before="0" w:line="240" w:lineRule="auto"/>
            </w:pPr>
            <w:r>
              <w:rPr>
                <w:color w:val="1B1C19"/>
                <w:sz w:val="14"/>
              </w:rPr>
              <w:t>Accountable business owner</w:t>
            </w:r>
          </w:p>
        </w:tc>
        <w:tc>
          <w:tcPr>
            <w:tcW w:type="dxa" w:w="6000"/>
            <w:vAlign w:val="top"/>
            <w:shd w:fill="F0EEE9"/>
          </w:tcPr>
          <w:p>
            <w:pPr>
              <w:spacing w:after="20" w:before="0" w:line="240" w:lineRule="auto"/>
            </w:pPr>
            <w:r>
              <w:rPr>
                <w:color w:val="1B1C19"/>
                <w:sz w:val="14"/>
              </w:rPr>
              <w:t>Person or role accountable for outcomes, risk acceptance, value realization, and ongoing use</w:t>
            </w:r>
          </w:p>
        </w:tc>
        <w:tc>
          <w:tcPr>
            <w:tcW w:type="dxa" w:w="1400"/>
            <w:vAlign w:val="top"/>
            <w:shd w:fill="F0EEE9"/>
          </w:tcPr>
          <w:p>
            <w:pPr>
              <w:spacing w:after="20" w:before="0" w:line="240" w:lineRule="auto"/>
            </w:pPr>
            <w:r>
              <w:rPr>
                <w:color w:val="1B1C19"/>
                <w:sz w:val="14"/>
              </w:rPr>
              <w:t>Yes</w:t>
            </w:r>
          </w:p>
        </w:tc>
      </w:tr>
      <w:tr>
        <w:trPr>
          <w:cantSplit/>
        </w:trPr>
        <w:tc>
          <w:tcPr>
            <w:tcW w:type="dxa" w:w="1900"/>
            <w:vAlign w:val="top"/>
          </w:tcPr>
          <w:p>
            <w:pPr>
              <w:spacing w:after="20" w:before="0" w:line="240" w:lineRule="auto"/>
            </w:pPr>
            <w:r>
              <w:rPr>
                <w:color w:val="1B1C19"/>
                <w:sz w:val="14"/>
              </w:rPr>
              <w:t>Technical owner</w:t>
            </w:r>
          </w:p>
        </w:tc>
        <w:tc>
          <w:tcPr>
            <w:tcW w:type="dxa" w:w="6000"/>
            <w:vAlign w:val="top"/>
          </w:tcPr>
          <w:p>
            <w:pPr>
              <w:spacing w:after="20" w:before="0" w:line="240" w:lineRule="auto"/>
            </w:pPr>
            <w:r>
              <w:rPr>
                <w:color w:val="1B1C19"/>
                <w:sz w:val="14"/>
              </w:rPr>
              <w:t>Person or role accountable for implementation, integration, reliability, logs, and operational health</w:t>
            </w:r>
          </w:p>
        </w:tc>
        <w:tc>
          <w:tcPr>
            <w:tcW w:type="dxa" w:w="1400"/>
            <w:vAlign w:val="top"/>
          </w:tcPr>
          <w:p>
            <w:pPr>
              <w:spacing w:after="20" w:before="0" w:line="240" w:lineRule="auto"/>
            </w:pPr>
            <w:r>
              <w:rPr>
                <w:color w:val="1B1C19"/>
                <w:sz w:val="14"/>
              </w:rPr>
              <w:t>Yes</w:t>
            </w:r>
          </w:p>
        </w:tc>
      </w:tr>
      <w:tr>
        <w:trPr>
          <w:cantSplit/>
        </w:trPr>
        <w:tc>
          <w:tcPr>
            <w:tcW w:type="dxa" w:w="1900"/>
            <w:vAlign w:val="top"/>
            <w:shd w:fill="F0EEE9"/>
          </w:tcPr>
          <w:p>
            <w:pPr>
              <w:spacing w:after="20" w:before="0" w:line="240" w:lineRule="auto"/>
            </w:pPr>
            <w:r>
              <w:rPr>
                <w:color w:val="1B1C19"/>
                <w:sz w:val="14"/>
              </w:rPr>
              <w:t>Data owner</w:t>
            </w:r>
          </w:p>
        </w:tc>
        <w:tc>
          <w:tcPr>
            <w:tcW w:type="dxa" w:w="6000"/>
            <w:vAlign w:val="top"/>
            <w:shd w:fill="F0EEE9"/>
          </w:tcPr>
          <w:p>
            <w:pPr>
              <w:spacing w:after="20" w:before="0" w:line="240" w:lineRule="auto"/>
            </w:pPr>
            <w:r>
              <w:rPr>
                <w:color w:val="1B1C19"/>
                <w:sz w:val="14"/>
              </w:rPr>
              <w:t>Person or role accountable for approved sources, data quality, sensitivity, access, lineage, and freshness</w:t>
            </w:r>
          </w:p>
        </w:tc>
        <w:tc>
          <w:tcPr>
            <w:tcW w:type="dxa" w:w="1400"/>
            <w:vAlign w:val="top"/>
            <w:shd w:fill="F0EEE9"/>
          </w:tcPr>
          <w:p>
            <w:pPr>
              <w:spacing w:after="20" w:before="0" w:line="240" w:lineRule="auto"/>
            </w:pPr>
            <w:r>
              <w:rPr>
                <w:color w:val="1B1C19"/>
                <w:sz w:val="14"/>
              </w:rPr>
              <w:t>Yes</w:t>
            </w:r>
          </w:p>
        </w:tc>
      </w:tr>
      <w:tr>
        <w:trPr>
          <w:cantSplit/>
        </w:trPr>
        <w:tc>
          <w:tcPr>
            <w:tcW w:type="dxa" w:w="1900"/>
            <w:vAlign w:val="top"/>
          </w:tcPr>
          <w:p>
            <w:pPr>
              <w:spacing w:after="20" w:before="0" w:line="240" w:lineRule="auto"/>
            </w:pPr>
            <w:r>
              <w:rPr>
                <w:color w:val="1B1C19"/>
                <w:sz w:val="14"/>
              </w:rPr>
              <w:t>Control owner</w:t>
            </w:r>
          </w:p>
        </w:tc>
        <w:tc>
          <w:tcPr>
            <w:tcW w:type="dxa" w:w="6000"/>
            <w:vAlign w:val="top"/>
          </w:tcPr>
          <w:p>
            <w:pPr>
              <w:spacing w:after="20" w:before="0" w:line="240" w:lineRule="auto"/>
            </w:pPr>
            <w:r>
              <w:rPr>
                <w:color w:val="1B1C19"/>
                <w:sz w:val="14"/>
              </w:rPr>
              <w:t>Person or role accountable for controls, evidence, monitoring, testing, and exception handling</w:t>
            </w:r>
          </w:p>
        </w:tc>
        <w:tc>
          <w:tcPr>
            <w:tcW w:type="dxa" w:w="1400"/>
            <w:vAlign w:val="top"/>
          </w:tcPr>
          <w:p>
            <w:pPr>
              <w:spacing w:after="20" w:before="0" w:line="240" w:lineRule="auto"/>
            </w:pPr>
            <w:r>
              <w:rPr>
                <w:color w:val="1B1C19"/>
                <w:sz w:val="14"/>
              </w:rPr>
              <w:t>Yes</w:t>
            </w:r>
          </w:p>
        </w:tc>
      </w:tr>
      <w:tr>
        <w:trPr>
          <w:cantSplit/>
        </w:trPr>
        <w:tc>
          <w:tcPr>
            <w:tcW w:type="dxa" w:w="1900"/>
            <w:vAlign w:val="top"/>
            <w:shd w:fill="F0EEE9"/>
          </w:tcPr>
          <w:p>
            <w:pPr>
              <w:spacing w:after="20" w:before="0" w:line="240" w:lineRule="auto"/>
            </w:pPr>
            <w:r>
              <w:rPr>
                <w:color w:val="1B1C19"/>
                <w:sz w:val="14"/>
              </w:rPr>
              <w:t>Decision owner</w:t>
            </w:r>
          </w:p>
        </w:tc>
        <w:tc>
          <w:tcPr>
            <w:tcW w:type="dxa" w:w="6000"/>
            <w:vAlign w:val="top"/>
            <w:shd w:fill="F0EEE9"/>
          </w:tcPr>
          <w:p>
            <w:pPr>
              <w:spacing w:after="20" w:before="0" w:line="240" w:lineRule="auto"/>
            </w:pPr>
            <w:r>
              <w:rPr>
                <w:color w:val="1B1C19"/>
                <w:sz w:val="14"/>
              </w:rPr>
              <w:t>Person or forum with authority over AI-enabled decisions or recommendations</w:t>
            </w:r>
          </w:p>
        </w:tc>
        <w:tc>
          <w:tcPr>
            <w:tcW w:type="dxa" w:w="1400"/>
            <w:vAlign w:val="top"/>
            <w:shd w:fill="F0EEE9"/>
          </w:tcPr>
          <w:p>
            <w:pPr>
              <w:spacing w:after="20" w:before="0" w:line="240" w:lineRule="auto"/>
            </w:pPr>
            <w:r>
              <w:rPr>
                <w:color w:val="1B1C19"/>
                <w:sz w:val="14"/>
              </w:rPr>
              <w:t>Yes</w:t>
            </w:r>
          </w:p>
        </w:tc>
      </w:tr>
      <w:tr>
        <w:trPr>
          <w:cantSplit/>
        </w:trPr>
        <w:tc>
          <w:tcPr>
            <w:tcW w:type="dxa" w:w="1900"/>
            <w:vAlign w:val="top"/>
          </w:tcPr>
          <w:p>
            <w:pPr>
              <w:spacing w:after="20" w:before="0" w:line="240" w:lineRule="auto"/>
            </w:pPr>
            <w:r>
              <w:rPr>
                <w:color w:val="1B1C19"/>
                <w:sz w:val="14"/>
              </w:rPr>
              <w:t>AI type</w:t>
            </w:r>
          </w:p>
        </w:tc>
        <w:tc>
          <w:tcPr>
            <w:tcW w:type="dxa" w:w="6000"/>
            <w:vAlign w:val="top"/>
          </w:tcPr>
          <w:p>
            <w:pPr>
              <w:spacing w:after="20" w:before="0" w:line="240" w:lineRule="auto"/>
            </w:pPr>
            <w:r>
              <w:rPr>
                <w:color w:val="1B1C19"/>
                <w:sz w:val="14"/>
              </w:rPr>
              <w:t>Assistant, copilot, classifier, summarizer, recommender, retrieval workflow, automation, model, agent, decision support, or autonomous action</w:t>
            </w:r>
          </w:p>
        </w:tc>
        <w:tc>
          <w:tcPr>
            <w:tcW w:type="dxa" w:w="1400"/>
            <w:vAlign w:val="top"/>
          </w:tcPr>
          <w:p>
            <w:pPr>
              <w:spacing w:after="20" w:before="0" w:line="240" w:lineRule="auto"/>
            </w:pPr>
            <w:r>
              <w:rPr>
                <w:color w:val="1B1C19"/>
                <w:sz w:val="14"/>
              </w:rPr>
              <w:t>Yes</w:t>
            </w:r>
          </w:p>
        </w:tc>
      </w:tr>
      <w:tr>
        <w:trPr>
          <w:cantSplit/>
        </w:trPr>
        <w:tc>
          <w:tcPr>
            <w:tcW w:type="dxa" w:w="1900"/>
            <w:vAlign w:val="top"/>
            <w:shd w:fill="F0EEE9"/>
          </w:tcPr>
          <w:p>
            <w:pPr>
              <w:spacing w:after="20" w:before="0" w:line="240" w:lineRule="auto"/>
            </w:pPr>
            <w:r>
              <w:rPr>
                <w:color w:val="1B1C19"/>
                <w:sz w:val="14"/>
              </w:rPr>
              <w:t>Impact tier</w:t>
            </w:r>
          </w:p>
        </w:tc>
        <w:tc>
          <w:tcPr>
            <w:tcW w:type="dxa" w:w="6000"/>
            <w:vAlign w:val="top"/>
            <w:shd w:fill="F0EEE9"/>
          </w:tcPr>
          <w:p>
            <w:pPr>
              <w:spacing w:after="20" w:before="0" w:line="240" w:lineRule="auto"/>
            </w:pPr>
            <w:r>
              <w:rPr>
                <w:color w:val="1B1C19"/>
                <w:sz w:val="14"/>
              </w:rPr>
              <w:t>Low, moderate, high, critical, regulated, customer-facing, employee-impacting, financial, security, privacy, or control-impacting</w:t>
            </w:r>
          </w:p>
        </w:tc>
        <w:tc>
          <w:tcPr>
            <w:tcW w:type="dxa" w:w="1400"/>
            <w:vAlign w:val="top"/>
            <w:shd w:fill="F0EEE9"/>
          </w:tcPr>
          <w:p>
            <w:pPr>
              <w:spacing w:after="20" w:before="0" w:line="240" w:lineRule="auto"/>
            </w:pPr>
            <w:r>
              <w:rPr>
                <w:color w:val="1B1C19"/>
                <w:sz w:val="14"/>
              </w:rPr>
              <w:t>Yes</w:t>
            </w:r>
          </w:p>
        </w:tc>
      </w:tr>
      <w:tr>
        <w:trPr>
          <w:cantSplit/>
        </w:trPr>
        <w:tc>
          <w:tcPr>
            <w:tcW w:type="dxa" w:w="1900"/>
            <w:vAlign w:val="top"/>
          </w:tcPr>
          <w:p>
            <w:pPr>
              <w:spacing w:after="20" w:before="0" w:line="240" w:lineRule="auto"/>
            </w:pPr>
            <w:r>
              <w:rPr>
                <w:color w:val="1B1C19"/>
                <w:sz w:val="14"/>
              </w:rPr>
              <w:t>Approved data sources</w:t>
            </w:r>
          </w:p>
        </w:tc>
        <w:tc>
          <w:tcPr>
            <w:tcW w:type="dxa" w:w="6000"/>
            <w:vAlign w:val="top"/>
          </w:tcPr>
          <w:p>
            <w:pPr>
              <w:spacing w:after="20" w:before="0" w:line="240" w:lineRule="auto"/>
            </w:pPr>
            <w:r>
              <w:rPr>
                <w:color w:val="1B1C19"/>
                <w:sz w:val="14"/>
              </w:rPr>
              <w:t>Systems, documents, dashboards, data products, knowledge objects, repositories, and APIs the AI may use</w:t>
            </w:r>
          </w:p>
        </w:tc>
        <w:tc>
          <w:tcPr>
            <w:tcW w:type="dxa" w:w="1400"/>
            <w:vAlign w:val="top"/>
          </w:tcPr>
          <w:p>
            <w:pPr>
              <w:spacing w:after="20" w:before="0" w:line="240" w:lineRule="auto"/>
            </w:pPr>
            <w:r>
              <w:rPr>
                <w:color w:val="1B1C19"/>
                <w:sz w:val="14"/>
              </w:rPr>
              <w:t>Yes</w:t>
            </w:r>
          </w:p>
        </w:tc>
      </w:tr>
      <w:tr>
        <w:trPr>
          <w:cantSplit/>
        </w:trPr>
        <w:tc>
          <w:tcPr>
            <w:tcW w:type="dxa" w:w="1900"/>
            <w:vAlign w:val="top"/>
            <w:shd w:fill="F0EEE9"/>
          </w:tcPr>
          <w:p>
            <w:pPr>
              <w:spacing w:after="20" w:before="0" w:line="240" w:lineRule="auto"/>
            </w:pPr>
            <w:r>
              <w:rPr>
                <w:color w:val="1B1C19"/>
                <w:sz w:val="14"/>
              </w:rPr>
              <w:t>Blocked data sources</w:t>
            </w:r>
          </w:p>
        </w:tc>
        <w:tc>
          <w:tcPr>
            <w:tcW w:type="dxa" w:w="6000"/>
            <w:vAlign w:val="top"/>
            <w:shd w:fill="F0EEE9"/>
          </w:tcPr>
          <w:p>
            <w:pPr>
              <w:spacing w:after="20" w:before="0" w:line="240" w:lineRule="auto"/>
            </w:pPr>
            <w:r>
              <w:rPr>
                <w:color w:val="1B1C19"/>
                <w:sz w:val="14"/>
              </w:rPr>
              <w:t>Sources, sensitive data, unapproved systems, stale documents, private channels, or unsupported knowledge bases the AI may not use</w:t>
            </w:r>
          </w:p>
        </w:tc>
        <w:tc>
          <w:tcPr>
            <w:tcW w:type="dxa" w:w="1400"/>
            <w:vAlign w:val="top"/>
            <w:shd w:fill="F0EEE9"/>
          </w:tcPr>
          <w:p>
            <w:pPr>
              <w:spacing w:after="20" w:before="0" w:line="240" w:lineRule="auto"/>
            </w:pPr>
            <w:r>
              <w:rPr>
                <w:color w:val="1B1C19"/>
                <w:sz w:val="14"/>
              </w:rPr>
              <w:t>Yes</w:t>
            </w:r>
          </w:p>
        </w:tc>
      </w:tr>
      <w:tr>
        <w:trPr>
          <w:cantSplit/>
        </w:trPr>
        <w:tc>
          <w:tcPr>
            <w:tcW w:type="dxa" w:w="1900"/>
            <w:vAlign w:val="top"/>
          </w:tcPr>
          <w:p>
            <w:pPr>
              <w:spacing w:after="20" w:before="0" w:line="240" w:lineRule="auto"/>
            </w:pPr>
            <w:r>
              <w:rPr>
                <w:color w:val="1B1C19"/>
                <w:sz w:val="14"/>
              </w:rPr>
              <w:t>Allowed AI actions</w:t>
            </w:r>
          </w:p>
        </w:tc>
        <w:tc>
          <w:tcPr>
            <w:tcW w:type="dxa" w:w="6000"/>
            <w:vAlign w:val="top"/>
          </w:tcPr>
          <w:p>
            <w:pPr>
              <w:spacing w:after="20" w:before="0" w:line="240" w:lineRule="auto"/>
            </w:pPr>
            <w:r>
              <w:rPr>
                <w:color w:val="1B1C19"/>
                <w:sz w:val="14"/>
              </w:rPr>
              <w:t>What AI is allowed to retrieve, draft, recommend, score, route, trigger, update, communicate, monitor, or execute</w:t>
            </w:r>
          </w:p>
        </w:tc>
        <w:tc>
          <w:tcPr>
            <w:tcW w:type="dxa" w:w="1400"/>
            <w:vAlign w:val="top"/>
          </w:tcPr>
          <w:p>
            <w:pPr>
              <w:spacing w:after="20" w:before="0" w:line="240" w:lineRule="auto"/>
            </w:pPr>
            <w:r>
              <w:rPr>
                <w:color w:val="1B1C19"/>
                <w:sz w:val="14"/>
              </w:rPr>
              <w:t>Yes</w:t>
            </w:r>
          </w:p>
        </w:tc>
      </w:tr>
      <w:tr>
        <w:trPr>
          <w:cantSplit/>
        </w:trPr>
        <w:tc>
          <w:tcPr>
            <w:tcW w:type="dxa" w:w="1900"/>
            <w:vAlign w:val="top"/>
            <w:shd w:fill="F0EEE9"/>
          </w:tcPr>
          <w:p>
            <w:pPr>
              <w:spacing w:after="20" w:before="0" w:line="240" w:lineRule="auto"/>
            </w:pPr>
            <w:r>
              <w:rPr>
                <w:color w:val="1B1C19"/>
                <w:sz w:val="14"/>
              </w:rPr>
              <w:t>Blocked AI actions</w:t>
            </w:r>
          </w:p>
        </w:tc>
        <w:tc>
          <w:tcPr>
            <w:tcW w:type="dxa" w:w="6000"/>
            <w:vAlign w:val="top"/>
            <w:shd w:fill="F0EEE9"/>
          </w:tcPr>
          <w:p>
            <w:pPr>
              <w:spacing w:after="20" w:before="0" w:line="240" w:lineRule="auto"/>
            </w:pPr>
            <w:r>
              <w:rPr>
                <w:color w:val="1B1C19"/>
                <w:sz w:val="14"/>
              </w:rPr>
              <w:t>What AI may not do without human approval, governance approval, or control validation</w:t>
            </w:r>
          </w:p>
        </w:tc>
        <w:tc>
          <w:tcPr>
            <w:tcW w:type="dxa" w:w="1400"/>
            <w:vAlign w:val="top"/>
            <w:shd w:fill="F0EEE9"/>
          </w:tcPr>
          <w:p>
            <w:pPr>
              <w:spacing w:after="20" w:before="0" w:line="240" w:lineRule="auto"/>
            </w:pPr>
            <w:r>
              <w:rPr>
                <w:color w:val="1B1C19"/>
                <w:sz w:val="14"/>
              </w:rPr>
              <w:t>Yes</w:t>
            </w:r>
          </w:p>
        </w:tc>
      </w:tr>
      <w:tr>
        <w:trPr>
          <w:cantSplit/>
        </w:trPr>
        <w:tc>
          <w:tcPr>
            <w:tcW w:type="dxa" w:w="1900"/>
            <w:vAlign w:val="top"/>
          </w:tcPr>
          <w:p>
            <w:pPr>
              <w:spacing w:after="20" w:before="0" w:line="240" w:lineRule="auto"/>
            </w:pPr>
            <w:r>
              <w:rPr>
                <w:color w:val="1B1C19"/>
                <w:sz w:val="14"/>
              </w:rPr>
              <w:t>Human review rule</w:t>
            </w:r>
          </w:p>
        </w:tc>
        <w:tc>
          <w:tcPr>
            <w:tcW w:type="dxa" w:w="6000"/>
            <w:vAlign w:val="top"/>
          </w:tcPr>
          <w:p>
            <w:pPr>
              <w:spacing w:after="20" w:before="0" w:line="240" w:lineRule="auto"/>
            </w:pPr>
            <w:r>
              <w:rPr>
                <w:color w:val="1B1C19"/>
                <w:sz w:val="14"/>
              </w:rPr>
              <w:t>Reviewer, review trigger, review evidence, decision authority, override path, and exception handling</w:t>
            </w:r>
          </w:p>
        </w:tc>
        <w:tc>
          <w:tcPr>
            <w:tcW w:type="dxa" w:w="1400"/>
            <w:vAlign w:val="top"/>
          </w:tcPr>
          <w:p>
            <w:pPr>
              <w:spacing w:after="20" w:before="0" w:line="240" w:lineRule="auto"/>
            </w:pPr>
            <w:r>
              <w:rPr>
                <w:color w:val="1B1C19"/>
                <w:sz w:val="14"/>
              </w:rPr>
              <w:t>Yes</w:t>
            </w:r>
          </w:p>
        </w:tc>
      </w:tr>
      <w:tr>
        <w:trPr>
          <w:cantSplit/>
        </w:trPr>
        <w:tc>
          <w:tcPr>
            <w:tcW w:type="dxa" w:w="1900"/>
            <w:vAlign w:val="top"/>
            <w:shd w:fill="F0EEE9"/>
          </w:tcPr>
          <w:p>
            <w:pPr>
              <w:spacing w:after="20" w:before="0" w:line="240" w:lineRule="auto"/>
            </w:pPr>
            <w:r>
              <w:rPr>
                <w:color w:val="1B1C19"/>
                <w:sz w:val="14"/>
              </w:rPr>
              <w:t>Evidence requirement</w:t>
            </w:r>
          </w:p>
        </w:tc>
        <w:tc>
          <w:tcPr>
            <w:tcW w:type="dxa" w:w="6000"/>
            <w:vAlign w:val="top"/>
            <w:shd w:fill="F0EEE9"/>
          </w:tcPr>
          <w:p>
            <w:pPr>
              <w:spacing w:after="20" w:before="0" w:line="240" w:lineRule="auto"/>
            </w:pPr>
            <w:r>
              <w:rPr>
                <w:color w:val="1B1C19"/>
                <w:sz w:val="14"/>
              </w:rPr>
              <w:t>Sources, logs, tests, model cards, vendor documentation, policy references, validation results, and decision records required</w:t>
            </w:r>
          </w:p>
        </w:tc>
        <w:tc>
          <w:tcPr>
            <w:tcW w:type="dxa" w:w="1400"/>
            <w:vAlign w:val="top"/>
            <w:shd w:fill="F0EEE9"/>
          </w:tcPr>
          <w:p>
            <w:pPr>
              <w:spacing w:after="20" w:before="0" w:line="240" w:lineRule="auto"/>
            </w:pPr>
            <w:r>
              <w:rPr>
                <w:color w:val="1B1C19"/>
                <w:sz w:val="14"/>
              </w:rPr>
              <w:t>Yes</w:t>
            </w:r>
          </w:p>
        </w:tc>
      </w:tr>
      <w:tr>
        <w:trPr>
          <w:cantSplit/>
        </w:trPr>
        <w:tc>
          <w:tcPr>
            <w:tcW w:type="dxa" w:w="1900"/>
            <w:vAlign w:val="top"/>
          </w:tcPr>
          <w:p>
            <w:pPr>
              <w:spacing w:after="20" w:before="0" w:line="240" w:lineRule="auto"/>
            </w:pPr>
            <w:r>
              <w:rPr>
                <w:color w:val="1B1C19"/>
                <w:sz w:val="14"/>
              </w:rPr>
              <w:t>Control coverage</w:t>
            </w:r>
          </w:p>
        </w:tc>
        <w:tc>
          <w:tcPr>
            <w:tcW w:type="dxa" w:w="6000"/>
            <w:vAlign w:val="top"/>
          </w:tcPr>
          <w:p>
            <w:pPr>
              <w:spacing w:after="20" w:before="0" w:line="240" w:lineRule="auto"/>
            </w:pPr>
            <w:r>
              <w:rPr>
                <w:color w:val="1B1C19"/>
                <w:sz w:val="14"/>
              </w:rPr>
              <w:t>Preventive, detective, corrective, access, privacy, security, compliance, model, vendor, and operational controls</w:t>
            </w:r>
          </w:p>
        </w:tc>
        <w:tc>
          <w:tcPr>
            <w:tcW w:type="dxa" w:w="1400"/>
            <w:vAlign w:val="top"/>
          </w:tcPr>
          <w:p>
            <w:pPr>
              <w:spacing w:after="20" w:before="0" w:line="240" w:lineRule="auto"/>
            </w:pPr>
            <w:r>
              <w:rPr>
                <w:color w:val="1B1C19"/>
                <w:sz w:val="14"/>
              </w:rPr>
              <w:t>Yes</w:t>
            </w:r>
          </w:p>
        </w:tc>
      </w:tr>
      <w:tr>
        <w:trPr>
          <w:cantSplit/>
        </w:trPr>
        <w:tc>
          <w:tcPr>
            <w:tcW w:type="dxa" w:w="1900"/>
            <w:vAlign w:val="top"/>
            <w:shd w:fill="F0EEE9"/>
          </w:tcPr>
          <w:p>
            <w:pPr>
              <w:spacing w:after="20" w:before="0" w:line="240" w:lineRule="auto"/>
            </w:pPr>
            <w:r>
              <w:rPr>
                <w:color w:val="1B1C19"/>
                <w:sz w:val="14"/>
              </w:rPr>
              <w:t>Monitoring signals</w:t>
            </w:r>
          </w:p>
        </w:tc>
        <w:tc>
          <w:tcPr>
            <w:tcW w:type="dxa" w:w="6000"/>
            <w:vAlign w:val="top"/>
            <w:shd w:fill="F0EEE9"/>
          </w:tcPr>
          <w:p>
            <w:pPr>
              <w:spacing w:after="20" w:before="0" w:line="240" w:lineRule="auto"/>
            </w:pPr>
            <w:r>
              <w:rPr>
                <w:color w:val="1B1C19"/>
                <w:sz w:val="14"/>
              </w:rPr>
              <w:t>Performance, drift, incidents, usage, adoption, false positives, false negatives, control failures, user feedback, and business value metrics</w:t>
            </w:r>
          </w:p>
        </w:tc>
        <w:tc>
          <w:tcPr>
            <w:tcW w:type="dxa" w:w="1400"/>
            <w:vAlign w:val="top"/>
            <w:shd w:fill="F0EEE9"/>
          </w:tcPr>
          <w:p>
            <w:pPr>
              <w:spacing w:after="20" w:before="0" w:line="240" w:lineRule="auto"/>
            </w:pPr>
            <w:r>
              <w:rPr>
                <w:color w:val="1B1C19"/>
                <w:sz w:val="14"/>
              </w:rPr>
              <w:t>Yes</w:t>
            </w:r>
          </w:p>
        </w:tc>
      </w:tr>
      <w:tr>
        <w:trPr>
          <w:cantSplit/>
        </w:trPr>
        <w:tc>
          <w:tcPr>
            <w:tcW w:type="dxa" w:w="1900"/>
            <w:vAlign w:val="top"/>
          </w:tcPr>
          <w:p>
            <w:pPr>
              <w:spacing w:after="20" w:before="0" w:line="240" w:lineRule="auto"/>
            </w:pPr>
            <w:r>
              <w:rPr>
                <w:color w:val="1B1C19"/>
                <w:sz w:val="14"/>
              </w:rPr>
              <w:t>Escalation path</w:t>
            </w:r>
          </w:p>
        </w:tc>
        <w:tc>
          <w:tcPr>
            <w:tcW w:type="dxa" w:w="6000"/>
            <w:vAlign w:val="top"/>
          </w:tcPr>
          <w:p>
            <w:pPr>
              <w:spacing w:after="20" w:before="0" w:line="240" w:lineRule="auto"/>
            </w:pPr>
            <w:r>
              <w:rPr>
                <w:color w:val="1B1C19"/>
                <w:sz w:val="14"/>
              </w:rPr>
              <w:t>Where issues go when AI output is wrong, harmful, unauthorized, stale, risky, overused, or outside approved scope</w:t>
            </w:r>
          </w:p>
        </w:tc>
        <w:tc>
          <w:tcPr>
            <w:tcW w:type="dxa" w:w="1400"/>
            <w:vAlign w:val="top"/>
          </w:tcPr>
          <w:p>
            <w:pPr>
              <w:spacing w:after="20" w:before="0" w:line="240" w:lineRule="auto"/>
            </w:pPr>
            <w:r>
              <w:rPr>
                <w:color w:val="1B1C19"/>
                <w:sz w:val="14"/>
              </w:rPr>
              <w:t>Yes</w:t>
            </w:r>
          </w:p>
        </w:tc>
      </w:tr>
      <w:tr>
        <w:trPr>
          <w:cantSplit/>
        </w:trPr>
        <w:tc>
          <w:tcPr>
            <w:tcW w:type="dxa" w:w="1900"/>
            <w:vAlign w:val="top"/>
            <w:shd w:fill="F0EEE9"/>
          </w:tcPr>
          <w:p>
            <w:pPr>
              <w:spacing w:after="20" w:before="0" w:line="240" w:lineRule="auto"/>
            </w:pPr>
            <w:r>
              <w:rPr>
                <w:color w:val="1B1C19"/>
                <w:sz w:val="14"/>
              </w:rPr>
              <w:t>Risk acceptance link</w:t>
            </w:r>
          </w:p>
        </w:tc>
        <w:tc>
          <w:tcPr>
            <w:tcW w:type="dxa" w:w="6000"/>
            <w:vAlign w:val="top"/>
            <w:shd w:fill="F0EEE9"/>
          </w:tcPr>
          <w:p>
            <w:pPr>
              <w:spacing w:after="20" w:before="0" w:line="240" w:lineRule="auto"/>
            </w:pPr>
            <w:r>
              <w:rPr>
                <w:color w:val="1B1C19"/>
                <w:sz w:val="14"/>
              </w:rPr>
              <w:t>Accepted risk ID or explicit statement that no risk acceptance is required</w:t>
            </w:r>
          </w:p>
        </w:tc>
        <w:tc>
          <w:tcPr>
            <w:tcW w:type="dxa" w:w="1400"/>
            <w:vAlign w:val="top"/>
            <w:shd w:fill="F0EEE9"/>
          </w:tcPr>
          <w:p>
            <w:pPr>
              <w:spacing w:after="20" w:before="0" w:line="240" w:lineRule="auto"/>
            </w:pPr>
            <w:r>
              <w:rPr>
                <w:color w:val="1B1C19"/>
                <w:sz w:val="14"/>
              </w:rPr>
              <w:t>Required for moderate and above</w:t>
            </w:r>
          </w:p>
        </w:tc>
      </w:tr>
      <w:tr>
        <w:trPr>
          <w:cantSplit/>
        </w:trPr>
        <w:tc>
          <w:tcPr>
            <w:tcW w:type="dxa" w:w="1900"/>
            <w:vAlign w:val="top"/>
          </w:tcPr>
          <w:p>
            <w:pPr>
              <w:spacing w:after="20" w:before="0" w:line="240" w:lineRule="auto"/>
            </w:pPr>
            <w:r>
              <w:rPr>
                <w:color w:val="1B1C19"/>
                <w:sz w:val="14"/>
              </w:rPr>
              <w:t>Launch status</w:t>
            </w:r>
          </w:p>
        </w:tc>
        <w:tc>
          <w:tcPr>
            <w:tcW w:type="dxa" w:w="6000"/>
            <w:vAlign w:val="top"/>
          </w:tcPr>
          <w:p>
            <w:pPr>
              <w:spacing w:after="20" w:before="0" w:line="240" w:lineRule="auto"/>
            </w:pPr>
            <w:r>
              <w:rPr>
                <w:color w:val="1B1C19"/>
                <w:sz w:val="14"/>
              </w:rPr>
              <w:t>Idea, discovery, design, pilot, limited release, production, scaled, restricted, paused, retired, or superseded</w:t>
            </w:r>
          </w:p>
        </w:tc>
        <w:tc>
          <w:tcPr>
            <w:tcW w:type="dxa" w:w="1400"/>
            <w:vAlign w:val="top"/>
          </w:tcPr>
          <w:p>
            <w:pPr>
              <w:spacing w:after="20" w:before="0" w:line="240" w:lineRule="auto"/>
            </w:pPr>
            <w:r>
              <w:rPr>
                <w:color w:val="1B1C19"/>
                <w:sz w:val="14"/>
              </w:rPr>
              <w:t>Yes</w:t>
            </w:r>
          </w:p>
        </w:tc>
      </w:tr>
      <w:tr>
        <w:trPr>
          <w:cantSplit/>
        </w:trPr>
        <w:tc>
          <w:tcPr>
            <w:tcW w:type="dxa" w:w="1900"/>
            <w:vAlign w:val="top"/>
            <w:shd w:fill="F0EEE9"/>
          </w:tcPr>
          <w:p>
            <w:pPr>
              <w:spacing w:after="20" w:before="0" w:line="240" w:lineRule="auto"/>
            </w:pPr>
            <w:r>
              <w:rPr>
                <w:color w:val="1B1C19"/>
                <w:sz w:val="14"/>
              </w:rPr>
              <w:t>Review cadence</w:t>
            </w:r>
          </w:p>
        </w:tc>
        <w:tc>
          <w:tcPr>
            <w:tcW w:type="dxa" w:w="6000"/>
            <w:vAlign w:val="top"/>
            <w:shd w:fill="F0EEE9"/>
          </w:tcPr>
          <w:p>
            <w:pPr>
              <w:spacing w:after="20" w:before="0" w:line="240" w:lineRule="auto"/>
            </w:pPr>
            <w:r>
              <w:rPr>
                <w:color w:val="1B1C19"/>
                <w:sz w:val="14"/>
              </w:rPr>
              <w:t>Weekly, monthly, quarterly, release-based, incident-based, policy-change based, vendor-change based, or data-change based</w:t>
            </w:r>
          </w:p>
        </w:tc>
        <w:tc>
          <w:tcPr>
            <w:tcW w:type="dxa" w:w="1400"/>
            <w:vAlign w:val="top"/>
            <w:shd w:fill="F0EEE9"/>
          </w:tcPr>
          <w:p>
            <w:pPr>
              <w:spacing w:after="20" w:before="0" w:line="240" w:lineRule="auto"/>
            </w:pPr>
            <w:r>
              <w:rPr>
                <w:color w:val="1B1C19"/>
                <w:sz w:val="14"/>
              </w:rPr>
              <w:t>Yes</w:t>
            </w:r>
          </w:p>
        </w:tc>
      </w:tr>
    </w:tbl>
    <w:p/>
    <w:p>
      <w:pPr>
        <w:pStyle w:val="Heading1"/>
      </w:pPr>
      <w:r>
        <w:rPr>
          <w:rFonts w:ascii="Aptos Display" w:hAnsi="Aptos Display"/>
          <w:color w:val="2D3924"/>
        </w:rPr>
        <w:t>Governance domains</w:t>
      </w:r>
    </w:p>
    <w:tbl>
      <w:tblPr>
        <w:tblStyle w:val="TableGrid"/>
        <w:tblW w:type="auto" w:w="0"/>
        <w:jc w:val="center"/>
        <w:tblLook w:firstColumn="1" w:firstRow="1" w:lastColumn="0" w:lastRow="0" w:noHBand="0" w:noVBand="1" w:val="04A0"/>
      </w:tblPr>
      <w:tblGrid>
        <w:gridCol w:w="5328"/>
        <w:gridCol w:w="5328"/>
      </w:tblGrid>
      <w:tr>
        <w:trPr>
          <w:cantSplit/>
        </w:trPr>
        <w:tc>
          <w:tcPr>
            <w:tcW w:type="dxa" w:w="2600"/>
            <w:vAlign w:val="top"/>
            <w:shd w:fill="2D3924"/>
          </w:tcPr>
          <w:p>
            <w:pPr>
              <w:spacing w:after="20" w:before="0" w:line="240" w:lineRule="auto"/>
            </w:pPr>
            <w:r>
              <w:rPr>
                <w:b/>
                <w:color w:val="FFFFFF"/>
                <w:sz w:val="15"/>
              </w:rPr>
              <w:t>Domain</w:t>
            </w:r>
          </w:p>
        </w:tc>
        <w:tc>
          <w:tcPr>
            <w:tcW w:type="dxa" w:w="6400"/>
            <w:vAlign w:val="top"/>
            <w:shd w:fill="2D3924"/>
          </w:tcPr>
          <w:p>
            <w:pPr>
              <w:spacing w:after="20" w:before="0" w:line="240" w:lineRule="auto"/>
            </w:pPr>
            <w:r>
              <w:rPr>
                <w:b/>
                <w:color w:val="FFFFFF"/>
                <w:sz w:val="15"/>
              </w:rPr>
              <w:t>Purpose</w:t>
            </w:r>
          </w:p>
        </w:tc>
      </w:tr>
      <w:tr>
        <w:trPr>
          <w:cantSplit/>
        </w:trPr>
        <w:tc>
          <w:tcPr>
            <w:tcW w:type="dxa" w:w="2600"/>
            <w:vAlign w:val="top"/>
          </w:tcPr>
          <w:p>
            <w:pPr>
              <w:spacing w:after="20" w:before="0" w:line="240" w:lineRule="auto"/>
            </w:pPr>
            <w:r>
              <w:rPr>
                <w:color w:val="1B1C19"/>
                <w:sz w:val="14"/>
              </w:rPr>
              <w:t>Business ownership</w:t>
            </w:r>
          </w:p>
        </w:tc>
        <w:tc>
          <w:tcPr>
            <w:tcW w:type="dxa" w:w="6400"/>
            <w:vAlign w:val="top"/>
          </w:tcPr>
          <w:p>
            <w:pPr>
              <w:spacing w:after="20" w:before="0" w:line="240" w:lineRule="auto"/>
            </w:pPr>
            <w:r>
              <w:rPr>
                <w:color w:val="1B1C19"/>
                <w:sz w:val="14"/>
              </w:rPr>
              <w:t>Confirms the AI use case has a real business owner, value case, accountable outcome, and funding path.</w:t>
            </w:r>
          </w:p>
        </w:tc>
      </w:tr>
      <w:tr>
        <w:trPr>
          <w:cantSplit/>
        </w:trPr>
        <w:tc>
          <w:tcPr>
            <w:tcW w:type="dxa" w:w="2600"/>
            <w:vAlign w:val="top"/>
            <w:shd w:fill="F0EEE9"/>
          </w:tcPr>
          <w:p>
            <w:pPr>
              <w:spacing w:after="20" w:before="0" w:line="240" w:lineRule="auto"/>
            </w:pPr>
            <w:r>
              <w:rPr>
                <w:color w:val="1B1C19"/>
                <w:sz w:val="14"/>
              </w:rPr>
              <w:t>Decision rights</w:t>
            </w:r>
          </w:p>
        </w:tc>
        <w:tc>
          <w:tcPr>
            <w:tcW w:type="dxa" w:w="6400"/>
            <w:vAlign w:val="top"/>
            <w:shd w:fill="F0EEE9"/>
          </w:tcPr>
          <w:p>
            <w:pPr>
              <w:spacing w:after="20" w:before="0" w:line="240" w:lineRule="auto"/>
            </w:pPr>
            <w:r>
              <w:rPr>
                <w:color w:val="1B1C19"/>
                <w:sz w:val="14"/>
              </w:rPr>
              <w:t>Defines whether AI advises, drafts, routes, recommends, scores, approves, updates, or acts, and who has authority over each action.</w:t>
            </w:r>
          </w:p>
        </w:tc>
      </w:tr>
      <w:tr>
        <w:trPr>
          <w:cantSplit/>
        </w:trPr>
        <w:tc>
          <w:tcPr>
            <w:tcW w:type="dxa" w:w="2600"/>
            <w:vAlign w:val="top"/>
          </w:tcPr>
          <w:p>
            <w:pPr>
              <w:spacing w:after="20" w:before="0" w:line="240" w:lineRule="auto"/>
            </w:pPr>
            <w:r>
              <w:rPr>
                <w:color w:val="1B1C19"/>
                <w:sz w:val="14"/>
              </w:rPr>
              <w:t>Data and knowledge boundaries</w:t>
            </w:r>
          </w:p>
        </w:tc>
        <w:tc>
          <w:tcPr>
            <w:tcW w:type="dxa" w:w="6400"/>
            <w:vAlign w:val="top"/>
          </w:tcPr>
          <w:p>
            <w:pPr>
              <w:spacing w:after="20" w:before="0" w:line="240" w:lineRule="auto"/>
            </w:pPr>
            <w:r>
              <w:rPr>
                <w:color w:val="1B1C19"/>
                <w:sz w:val="14"/>
              </w:rPr>
              <w:t>Defines approved sources, blocked sources, source-of-truth rules, sensitivity, access, freshness, and lineage.</w:t>
            </w:r>
          </w:p>
        </w:tc>
      </w:tr>
      <w:tr>
        <w:trPr>
          <w:cantSplit/>
        </w:trPr>
        <w:tc>
          <w:tcPr>
            <w:tcW w:type="dxa" w:w="2600"/>
            <w:vAlign w:val="top"/>
            <w:shd w:fill="F0EEE9"/>
          </w:tcPr>
          <w:p>
            <w:pPr>
              <w:spacing w:after="20" w:before="0" w:line="240" w:lineRule="auto"/>
            </w:pPr>
            <w:r>
              <w:rPr>
                <w:color w:val="1B1C19"/>
                <w:sz w:val="14"/>
              </w:rPr>
              <w:t>Model, vendor, and tool governance</w:t>
            </w:r>
          </w:p>
        </w:tc>
        <w:tc>
          <w:tcPr>
            <w:tcW w:type="dxa" w:w="6400"/>
            <w:vAlign w:val="top"/>
            <w:shd w:fill="F0EEE9"/>
          </w:tcPr>
          <w:p>
            <w:pPr>
              <w:spacing w:after="20" w:before="0" w:line="240" w:lineRule="auto"/>
            </w:pPr>
            <w:r>
              <w:rPr>
                <w:color w:val="1B1C19"/>
                <w:sz w:val="14"/>
              </w:rPr>
              <w:t>Documents the AI tool, model, vendor, platform, version, terms, data handling, reliability, and lifecycle ownership.</w:t>
            </w:r>
          </w:p>
        </w:tc>
      </w:tr>
      <w:tr>
        <w:trPr>
          <w:cantSplit/>
        </w:trPr>
        <w:tc>
          <w:tcPr>
            <w:tcW w:type="dxa" w:w="2600"/>
            <w:vAlign w:val="top"/>
          </w:tcPr>
          <w:p>
            <w:pPr>
              <w:spacing w:after="20" w:before="0" w:line="240" w:lineRule="auto"/>
            </w:pPr>
            <w:r>
              <w:rPr>
                <w:color w:val="1B1C19"/>
                <w:sz w:val="14"/>
              </w:rPr>
              <w:t>Human review and accountability</w:t>
            </w:r>
          </w:p>
        </w:tc>
        <w:tc>
          <w:tcPr>
            <w:tcW w:type="dxa" w:w="6400"/>
            <w:vAlign w:val="top"/>
          </w:tcPr>
          <w:p>
            <w:pPr>
              <w:spacing w:after="20" w:before="0" w:line="240" w:lineRule="auto"/>
            </w:pPr>
            <w:r>
              <w:rPr>
                <w:color w:val="1B1C19"/>
                <w:sz w:val="14"/>
              </w:rPr>
              <w:t>Defines required review, approval, override, exception, and escalation paths for AI-assisted work.</w:t>
            </w:r>
          </w:p>
        </w:tc>
      </w:tr>
      <w:tr>
        <w:trPr>
          <w:cantSplit/>
        </w:trPr>
        <w:tc>
          <w:tcPr>
            <w:tcW w:type="dxa" w:w="2600"/>
            <w:vAlign w:val="top"/>
            <w:shd w:fill="F0EEE9"/>
          </w:tcPr>
          <w:p>
            <w:pPr>
              <w:spacing w:after="20" w:before="0" w:line="240" w:lineRule="auto"/>
            </w:pPr>
            <w:r>
              <w:rPr>
                <w:color w:val="1B1C19"/>
                <w:sz w:val="14"/>
              </w:rPr>
              <w:t>Controls and evidence</w:t>
            </w:r>
          </w:p>
        </w:tc>
        <w:tc>
          <w:tcPr>
            <w:tcW w:type="dxa" w:w="6400"/>
            <w:vAlign w:val="top"/>
            <w:shd w:fill="F0EEE9"/>
          </w:tcPr>
          <w:p>
            <w:pPr>
              <w:spacing w:after="20" w:before="0" w:line="240" w:lineRule="auto"/>
            </w:pPr>
            <w:r>
              <w:rPr>
                <w:color w:val="1B1C19"/>
                <w:sz w:val="14"/>
              </w:rPr>
              <w:t>Maps controls, logs, test evidence, evidence owners, auditability, monitoring, and control failure handling.</w:t>
            </w:r>
          </w:p>
        </w:tc>
      </w:tr>
      <w:tr>
        <w:trPr>
          <w:cantSplit/>
        </w:trPr>
        <w:tc>
          <w:tcPr>
            <w:tcW w:type="dxa" w:w="2600"/>
            <w:vAlign w:val="top"/>
          </w:tcPr>
          <w:p>
            <w:pPr>
              <w:spacing w:after="20" w:before="0" w:line="240" w:lineRule="auto"/>
            </w:pPr>
            <w:r>
              <w:rPr>
                <w:color w:val="1B1C19"/>
                <w:sz w:val="14"/>
              </w:rPr>
              <w:t>Risk, legal, security, and privacy</w:t>
            </w:r>
          </w:p>
        </w:tc>
        <w:tc>
          <w:tcPr>
            <w:tcW w:type="dxa" w:w="6400"/>
            <w:vAlign w:val="top"/>
          </w:tcPr>
          <w:p>
            <w:pPr>
              <w:spacing w:after="20" w:before="0" w:line="240" w:lineRule="auto"/>
            </w:pPr>
            <w:r>
              <w:rPr>
                <w:color w:val="1B1C19"/>
                <w:sz w:val="14"/>
              </w:rPr>
              <w:t>Confirms required reviews for sensitive data, customer impact, employee impact, regulated decisions, IP, security, and privacy.</w:t>
            </w:r>
          </w:p>
        </w:tc>
      </w:tr>
      <w:tr>
        <w:trPr>
          <w:cantSplit/>
        </w:trPr>
        <w:tc>
          <w:tcPr>
            <w:tcW w:type="dxa" w:w="2600"/>
            <w:vAlign w:val="top"/>
            <w:shd w:fill="F0EEE9"/>
          </w:tcPr>
          <w:p>
            <w:pPr>
              <w:spacing w:after="20" w:before="0" w:line="240" w:lineRule="auto"/>
            </w:pPr>
            <w:r>
              <w:rPr>
                <w:color w:val="1B1C19"/>
                <w:sz w:val="14"/>
              </w:rPr>
              <w:t>Operational monitoring</w:t>
            </w:r>
          </w:p>
        </w:tc>
        <w:tc>
          <w:tcPr>
            <w:tcW w:type="dxa" w:w="6400"/>
            <w:vAlign w:val="top"/>
            <w:shd w:fill="F0EEE9"/>
          </w:tcPr>
          <w:p>
            <w:pPr>
              <w:spacing w:after="20" w:before="0" w:line="240" w:lineRule="auto"/>
            </w:pPr>
            <w:r>
              <w:rPr>
                <w:color w:val="1B1C19"/>
                <w:sz w:val="14"/>
              </w:rPr>
              <w:t>Defines performance signals, drift monitoring, incidents, adoption, business value, user feedback, and retirement triggers.</w:t>
            </w:r>
          </w:p>
        </w:tc>
      </w:tr>
    </w:tbl>
    <w:p/>
    <w:p>
      <w:r>
        <w:br w:type="page"/>
      </w:r>
    </w:p>
    <w:p>
      <w:pPr>
        <w:pStyle w:val="Heading1"/>
      </w:pPr>
      <w:r>
        <w:rPr>
          <w:rFonts w:ascii="Aptos Display" w:hAnsi="Aptos Display"/>
          <w:color w:val="2D3924"/>
        </w:rPr>
        <w:t>AI governance checklist</w:t>
      </w:r>
    </w:p>
    <w:p>
      <w:pPr>
        <w:pStyle w:val="Heading2"/>
      </w:pPr>
      <w:r>
        <w:rPr>
          <w:rFonts w:ascii="Aptos Display" w:hAnsi="Aptos Display"/>
          <w:color w:val="556348"/>
        </w:rPr>
        <w:t>1. Business ownership and intent</w:t>
      </w:r>
    </w:p>
    <w:tbl>
      <w:tblPr>
        <w:tblStyle w:val="TableGrid"/>
        <w:tblW w:type="auto" w:w="0"/>
        <w:jc w:val="center"/>
        <w:tblLook w:firstColumn="1" w:firstRow="1" w:lastColumn="0" w:lastRow="0" w:noHBand="0" w:noVBand="1" w:val="04A0"/>
      </w:tblPr>
      <w:tblGrid>
        <w:gridCol w:w="3552"/>
        <w:gridCol w:w="3552"/>
        <w:gridCol w:w="3552"/>
      </w:tblGrid>
      <w:tr>
        <w:trPr>
          <w:cantSplit/>
        </w:trPr>
        <w:tc>
          <w:tcPr>
            <w:tcW w:type="dxa" w:w="4200"/>
            <w:vAlign w:val="top"/>
            <w:shd w:fill="2D3924"/>
          </w:tcPr>
          <w:p>
            <w:pPr>
              <w:spacing w:after="20" w:before="0" w:line="240" w:lineRule="auto"/>
            </w:pPr>
            <w:r>
              <w:rPr>
                <w:b/>
                <w:color w:val="FFFFFF"/>
                <w:sz w:val="15"/>
              </w:rPr>
              <w:t>Checklist item</w:t>
            </w:r>
          </w:p>
        </w:tc>
        <w:tc>
          <w:tcPr>
            <w:tcW w:type="dxa" w:w="1200"/>
            <w:vAlign w:val="top"/>
            <w:shd w:fill="2D3924"/>
          </w:tcPr>
          <w:p>
            <w:pPr>
              <w:spacing w:after="20" w:before="0" w:line="240" w:lineRule="auto"/>
            </w:pPr>
            <w:r>
              <w:rPr>
                <w:b/>
                <w:color w:val="FFFFFF"/>
                <w:sz w:val="15"/>
              </w:rPr>
              <w:t>Status</w:t>
            </w:r>
          </w:p>
        </w:tc>
        <w:tc>
          <w:tcPr>
            <w:tcW w:type="dxa" w:w="3600"/>
            <w:vAlign w:val="top"/>
            <w:shd w:fill="2D3924"/>
          </w:tcPr>
          <w:p>
            <w:pPr>
              <w:spacing w:after="20" w:before="0" w:line="240" w:lineRule="auto"/>
            </w:pPr>
            <w:r>
              <w:rPr>
                <w:b/>
                <w:color w:val="FFFFFF"/>
                <w:sz w:val="15"/>
              </w:rPr>
              <w:t>Guidance</w:t>
            </w:r>
          </w:p>
        </w:tc>
      </w:tr>
      <w:tr>
        <w:trPr>
          <w:cantSplit/>
        </w:trPr>
        <w:tc>
          <w:tcPr>
            <w:tcW w:type="dxa" w:w="4200"/>
            <w:vAlign w:val="top"/>
          </w:tcPr>
          <w:p>
            <w:pPr>
              <w:spacing w:after="20" w:before="0" w:line="240" w:lineRule="auto"/>
            </w:pPr>
            <w:r>
              <w:rPr>
                <w:color w:val="1B1C19"/>
                <w:sz w:val="14"/>
              </w:rPr>
              <w:t>Use case has one accountable business owner</w:t>
            </w:r>
          </w:p>
        </w:tc>
        <w:tc>
          <w:tcPr>
            <w:tcW w:type="dxa" w:w="1200"/>
            <w:vAlign w:val="top"/>
          </w:tcPr>
          <w:p>
            <w:pPr>
              <w:spacing w:after="20" w:before="0" w:line="240" w:lineRule="auto"/>
            </w:pPr>
            <w:r>
              <w:rPr>
                <w:color w:val="1B1C19"/>
                <w:sz w:val="14"/>
              </w:rPr>
              <w:t>Yes / No / Partial</w:t>
            </w:r>
          </w:p>
        </w:tc>
        <w:tc>
          <w:tcPr>
            <w:tcW w:type="dxa" w:w="3600"/>
            <w:vAlign w:val="top"/>
          </w:tcPr>
          <w:p>
            <w:pPr>
              <w:spacing w:after="20" w:before="0" w:line="240" w:lineRule="auto"/>
            </w:pPr>
            <w:r>
              <w:rPr>
                <w:color w:val="1B1C19"/>
                <w:sz w:val="14"/>
              </w:rPr>
              <w:t>Do not proceed without a named owner.</w:t>
            </w:r>
          </w:p>
        </w:tc>
      </w:tr>
      <w:tr>
        <w:trPr>
          <w:cantSplit/>
        </w:trPr>
        <w:tc>
          <w:tcPr>
            <w:tcW w:type="dxa" w:w="4200"/>
            <w:vAlign w:val="top"/>
            <w:shd w:fill="F0EEE9"/>
          </w:tcPr>
          <w:p>
            <w:pPr>
              <w:spacing w:after="20" w:before="0" w:line="240" w:lineRule="auto"/>
            </w:pPr>
            <w:r>
              <w:rPr>
                <w:color w:val="1B1C19"/>
                <w:sz w:val="14"/>
              </w:rPr>
              <w:t>Business purpose is tied to a measurable outcome</w:t>
            </w:r>
          </w:p>
        </w:tc>
        <w:tc>
          <w:tcPr>
            <w:tcW w:type="dxa" w:w="1200"/>
            <w:vAlign w:val="top"/>
            <w:shd w:fill="F0EEE9"/>
          </w:tcPr>
          <w:p>
            <w:pPr>
              <w:spacing w:after="20" w:before="0" w:line="240" w:lineRule="auto"/>
            </w:pPr>
            <w:r>
              <w:rPr>
                <w:color w:val="1B1C19"/>
                <w:sz w:val="14"/>
              </w:rPr>
              <w:t>Yes / No / Partial</w:t>
            </w:r>
          </w:p>
        </w:tc>
        <w:tc>
          <w:tcPr>
            <w:tcW w:type="dxa" w:w="3600"/>
            <w:vAlign w:val="top"/>
            <w:shd w:fill="F0EEE9"/>
          </w:tcPr>
          <w:p>
            <w:pPr>
              <w:spacing w:after="20" w:before="0" w:line="240" w:lineRule="auto"/>
            </w:pPr>
            <w:r>
              <w:rPr>
                <w:color w:val="1B1C19"/>
                <w:sz w:val="14"/>
              </w:rPr>
              <w:t>Outcome should be specific enough to measure value or harm.</w:t>
            </w:r>
          </w:p>
        </w:tc>
      </w:tr>
      <w:tr>
        <w:trPr>
          <w:cantSplit/>
        </w:trPr>
        <w:tc>
          <w:tcPr>
            <w:tcW w:type="dxa" w:w="4200"/>
            <w:vAlign w:val="top"/>
          </w:tcPr>
          <w:p>
            <w:pPr>
              <w:spacing w:after="20" w:before="0" w:line="240" w:lineRule="auto"/>
            </w:pPr>
            <w:r>
              <w:rPr>
                <w:color w:val="1B1C19"/>
                <w:sz w:val="14"/>
              </w:rPr>
              <w:t>AI use case is connected to a workflow, decision, service, product, control, or operating-model need</w:t>
            </w:r>
          </w:p>
        </w:tc>
        <w:tc>
          <w:tcPr>
            <w:tcW w:type="dxa" w:w="1200"/>
            <w:vAlign w:val="top"/>
          </w:tcPr>
          <w:p>
            <w:pPr>
              <w:spacing w:after="20" w:before="0" w:line="240" w:lineRule="auto"/>
            </w:pPr>
            <w:r>
              <w:rPr>
                <w:color w:val="1B1C19"/>
                <w:sz w:val="14"/>
              </w:rPr>
              <w:t>Yes / No / Partial</w:t>
            </w:r>
          </w:p>
        </w:tc>
        <w:tc>
          <w:tcPr>
            <w:tcW w:type="dxa" w:w="3600"/>
            <w:vAlign w:val="top"/>
          </w:tcPr>
          <w:p>
            <w:pPr>
              <w:spacing w:after="20" w:before="0" w:line="240" w:lineRule="auto"/>
            </w:pPr>
            <w:r>
              <w:rPr>
                <w:color w:val="1B1C19"/>
                <w:sz w:val="14"/>
              </w:rPr>
              <w:t>Avoid standalone AI demos with no operating destination.</w:t>
            </w:r>
          </w:p>
        </w:tc>
      </w:tr>
      <w:tr>
        <w:trPr>
          <w:cantSplit/>
        </w:trPr>
        <w:tc>
          <w:tcPr>
            <w:tcW w:type="dxa" w:w="4200"/>
            <w:vAlign w:val="top"/>
            <w:shd w:fill="F0EEE9"/>
          </w:tcPr>
          <w:p>
            <w:pPr>
              <w:spacing w:after="20" w:before="0" w:line="240" w:lineRule="auto"/>
            </w:pPr>
            <w:r>
              <w:rPr>
                <w:color w:val="1B1C19"/>
                <w:sz w:val="14"/>
              </w:rPr>
              <w:t>Funding, support, and lifecycle ownership are clear</w:t>
            </w:r>
          </w:p>
        </w:tc>
        <w:tc>
          <w:tcPr>
            <w:tcW w:type="dxa" w:w="1200"/>
            <w:vAlign w:val="top"/>
            <w:shd w:fill="F0EEE9"/>
          </w:tcPr>
          <w:p>
            <w:pPr>
              <w:spacing w:after="20" w:before="0" w:line="240" w:lineRule="auto"/>
            </w:pPr>
            <w:r>
              <w:rPr>
                <w:color w:val="1B1C19"/>
                <w:sz w:val="14"/>
              </w:rPr>
              <w:t>Yes / No / Partial</w:t>
            </w:r>
          </w:p>
        </w:tc>
        <w:tc>
          <w:tcPr>
            <w:tcW w:type="dxa" w:w="3600"/>
            <w:vAlign w:val="top"/>
            <w:shd w:fill="F0EEE9"/>
          </w:tcPr>
          <w:p>
            <w:pPr>
              <w:spacing w:after="20" w:before="0" w:line="240" w:lineRule="auto"/>
            </w:pPr>
            <w:r>
              <w:rPr>
                <w:color w:val="1B1C19"/>
                <w:sz w:val="14"/>
              </w:rPr>
              <w:t>Owner must cover sustainment, not just launch.</w:t>
            </w:r>
          </w:p>
        </w:tc>
      </w:tr>
    </w:tbl>
    <w:p/>
    <w:p>
      <w:pPr>
        <w:pStyle w:val="Heading2"/>
      </w:pPr>
      <w:r>
        <w:rPr>
          <w:rFonts w:ascii="Aptos Display" w:hAnsi="Aptos Display"/>
          <w:color w:val="556348"/>
        </w:rPr>
        <w:t>2. Decision rights and action boundary</w:t>
      </w:r>
    </w:p>
    <w:tbl>
      <w:tblPr>
        <w:tblStyle w:val="TableGrid"/>
        <w:tblW w:type="auto" w:w="0"/>
        <w:jc w:val="center"/>
        <w:tblLook w:firstColumn="1" w:firstRow="1" w:lastColumn="0" w:lastRow="0" w:noHBand="0" w:noVBand="1" w:val="04A0"/>
      </w:tblPr>
      <w:tblGrid>
        <w:gridCol w:w="3552"/>
        <w:gridCol w:w="3552"/>
        <w:gridCol w:w="3552"/>
      </w:tblGrid>
      <w:tr>
        <w:trPr>
          <w:cantSplit/>
        </w:trPr>
        <w:tc>
          <w:tcPr>
            <w:tcW w:type="dxa" w:w="4200"/>
            <w:vAlign w:val="top"/>
            <w:shd w:fill="2D3924"/>
          </w:tcPr>
          <w:p>
            <w:pPr>
              <w:spacing w:after="20" w:before="0" w:line="240" w:lineRule="auto"/>
            </w:pPr>
            <w:r>
              <w:rPr>
                <w:b/>
                <w:color w:val="FFFFFF"/>
                <w:sz w:val="15"/>
              </w:rPr>
              <w:t>Checklist item</w:t>
            </w:r>
          </w:p>
        </w:tc>
        <w:tc>
          <w:tcPr>
            <w:tcW w:type="dxa" w:w="1200"/>
            <w:vAlign w:val="top"/>
            <w:shd w:fill="2D3924"/>
          </w:tcPr>
          <w:p>
            <w:pPr>
              <w:spacing w:after="20" w:before="0" w:line="240" w:lineRule="auto"/>
            </w:pPr>
            <w:r>
              <w:rPr>
                <w:b/>
                <w:color w:val="FFFFFF"/>
                <w:sz w:val="15"/>
              </w:rPr>
              <w:t>Status</w:t>
            </w:r>
          </w:p>
        </w:tc>
        <w:tc>
          <w:tcPr>
            <w:tcW w:type="dxa" w:w="3600"/>
            <w:vAlign w:val="top"/>
            <w:shd w:fill="2D3924"/>
          </w:tcPr>
          <w:p>
            <w:pPr>
              <w:spacing w:after="20" w:before="0" w:line="240" w:lineRule="auto"/>
            </w:pPr>
            <w:r>
              <w:rPr>
                <w:b/>
                <w:color w:val="FFFFFF"/>
                <w:sz w:val="15"/>
              </w:rPr>
              <w:t>Guidance</w:t>
            </w:r>
          </w:p>
        </w:tc>
      </w:tr>
      <w:tr>
        <w:trPr>
          <w:cantSplit/>
        </w:trPr>
        <w:tc>
          <w:tcPr>
            <w:tcW w:type="dxa" w:w="4200"/>
            <w:vAlign w:val="top"/>
          </w:tcPr>
          <w:p>
            <w:pPr>
              <w:spacing w:after="20" w:before="0" w:line="240" w:lineRule="auto"/>
            </w:pPr>
            <w:r>
              <w:rPr>
                <w:color w:val="1B1C19"/>
                <w:sz w:val="14"/>
              </w:rPr>
              <w:t>AI role is classified as retrieve, draft, summarize, recommend, score, route, trigger, update, or act</w:t>
            </w:r>
          </w:p>
        </w:tc>
        <w:tc>
          <w:tcPr>
            <w:tcW w:type="dxa" w:w="1200"/>
            <w:vAlign w:val="top"/>
          </w:tcPr>
          <w:p>
            <w:pPr>
              <w:spacing w:after="20" w:before="0" w:line="240" w:lineRule="auto"/>
            </w:pPr>
            <w:r>
              <w:rPr>
                <w:color w:val="1B1C19"/>
                <w:sz w:val="14"/>
              </w:rPr>
              <w:t>Yes / No / Partial</w:t>
            </w:r>
          </w:p>
        </w:tc>
        <w:tc>
          <w:tcPr>
            <w:tcW w:type="dxa" w:w="3600"/>
            <w:vAlign w:val="top"/>
          </w:tcPr>
          <w:p>
            <w:pPr>
              <w:spacing w:after="20" w:before="0" w:line="240" w:lineRule="auto"/>
            </w:pPr>
            <w:r>
              <w:rPr>
                <w:color w:val="1B1C19"/>
                <w:sz w:val="14"/>
              </w:rPr>
              <w:t>Classify the strongest action AI can take.</w:t>
            </w:r>
          </w:p>
        </w:tc>
      </w:tr>
      <w:tr>
        <w:trPr>
          <w:cantSplit/>
        </w:trPr>
        <w:tc>
          <w:tcPr>
            <w:tcW w:type="dxa" w:w="4200"/>
            <w:vAlign w:val="top"/>
            <w:shd w:fill="F0EEE9"/>
          </w:tcPr>
          <w:p>
            <w:pPr>
              <w:spacing w:after="20" w:before="0" w:line="240" w:lineRule="auto"/>
            </w:pPr>
            <w:r>
              <w:rPr>
                <w:color w:val="1B1C19"/>
                <w:sz w:val="14"/>
              </w:rPr>
              <w:t>Decision owner is documented for every AI-influenced decision</w:t>
            </w:r>
          </w:p>
        </w:tc>
        <w:tc>
          <w:tcPr>
            <w:tcW w:type="dxa" w:w="1200"/>
            <w:vAlign w:val="top"/>
            <w:shd w:fill="F0EEE9"/>
          </w:tcPr>
          <w:p>
            <w:pPr>
              <w:spacing w:after="20" w:before="0" w:line="240" w:lineRule="auto"/>
            </w:pPr>
            <w:r>
              <w:rPr>
                <w:color w:val="1B1C19"/>
                <w:sz w:val="14"/>
              </w:rPr>
              <w:t>Yes / No / Partial</w:t>
            </w:r>
          </w:p>
        </w:tc>
        <w:tc>
          <w:tcPr>
            <w:tcW w:type="dxa" w:w="3600"/>
            <w:vAlign w:val="top"/>
            <w:shd w:fill="F0EEE9"/>
          </w:tcPr>
          <w:p>
            <w:pPr>
              <w:spacing w:after="20" w:before="0" w:line="240" w:lineRule="auto"/>
            </w:pPr>
            <w:r>
              <w:rPr>
                <w:color w:val="1B1C19"/>
                <w:sz w:val="14"/>
              </w:rPr>
              <w:t>AI cannot become the hidden decision owner.</w:t>
            </w:r>
          </w:p>
        </w:tc>
      </w:tr>
      <w:tr>
        <w:trPr>
          <w:cantSplit/>
        </w:trPr>
        <w:tc>
          <w:tcPr>
            <w:tcW w:type="dxa" w:w="4200"/>
            <w:vAlign w:val="top"/>
          </w:tcPr>
          <w:p>
            <w:pPr>
              <w:spacing w:after="20" w:before="0" w:line="240" w:lineRule="auto"/>
            </w:pPr>
            <w:r>
              <w:rPr>
                <w:color w:val="1B1C19"/>
                <w:sz w:val="14"/>
              </w:rPr>
              <w:t>Allowed AI actions are explicitly defined</w:t>
            </w:r>
          </w:p>
        </w:tc>
        <w:tc>
          <w:tcPr>
            <w:tcW w:type="dxa" w:w="1200"/>
            <w:vAlign w:val="top"/>
          </w:tcPr>
          <w:p>
            <w:pPr>
              <w:spacing w:after="20" w:before="0" w:line="240" w:lineRule="auto"/>
            </w:pPr>
            <w:r>
              <w:rPr>
                <w:color w:val="1B1C19"/>
                <w:sz w:val="14"/>
              </w:rPr>
              <w:t>Yes / No / Partial</w:t>
            </w:r>
          </w:p>
        </w:tc>
        <w:tc>
          <w:tcPr>
            <w:tcW w:type="dxa" w:w="3600"/>
            <w:vAlign w:val="top"/>
          </w:tcPr>
          <w:p>
            <w:pPr>
              <w:spacing w:after="20" w:before="0" w:line="240" w:lineRule="auto"/>
            </w:pPr>
            <w:r>
              <w:rPr>
                <w:color w:val="1B1C19"/>
                <w:sz w:val="14"/>
              </w:rPr>
              <w:t>Allowed actions must be narrower than tool capability.</w:t>
            </w:r>
          </w:p>
        </w:tc>
      </w:tr>
      <w:tr>
        <w:trPr>
          <w:cantSplit/>
        </w:trPr>
        <w:tc>
          <w:tcPr>
            <w:tcW w:type="dxa" w:w="4200"/>
            <w:vAlign w:val="top"/>
            <w:shd w:fill="F0EEE9"/>
          </w:tcPr>
          <w:p>
            <w:pPr>
              <w:spacing w:after="20" w:before="0" w:line="240" w:lineRule="auto"/>
            </w:pPr>
            <w:r>
              <w:rPr>
                <w:color w:val="1B1C19"/>
                <w:sz w:val="14"/>
              </w:rPr>
              <w:t>Blocked AI actions are explicitly defined</w:t>
            </w:r>
          </w:p>
        </w:tc>
        <w:tc>
          <w:tcPr>
            <w:tcW w:type="dxa" w:w="1200"/>
            <w:vAlign w:val="top"/>
            <w:shd w:fill="F0EEE9"/>
          </w:tcPr>
          <w:p>
            <w:pPr>
              <w:spacing w:after="20" w:before="0" w:line="240" w:lineRule="auto"/>
            </w:pPr>
            <w:r>
              <w:rPr>
                <w:color w:val="1B1C19"/>
                <w:sz w:val="14"/>
              </w:rPr>
              <w:t>Yes / No / Partial</w:t>
            </w:r>
          </w:p>
        </w:tc>
        <w:tc>
          <w:tcPr>
            <w:tcW w:type="dxa" w:w="3600"/>
            <w:vAlign w:val="top"/>
            <w:shd w:fill="F0EEE9"/>
          </w:tcPr>
          <w:p>
            <w:pPr>
              <w:spacing w:after="20" w:before="0" w:line="240" w:lineRule="auto"/>
            </w:pPr>
            <w:r>
              <w:rPr>
                <w:color w:val="1B1C19"/>
                <w:sz w:val="14"/>
              </w:rPr>
              <w:t>Block approvals, commitments, external communications, financial actions, policy exceptions, or control bypass unless approved.</w:t>
            </w:r>
          </w:p>
        </w:tc>
      </w:tr>
      <w:tr>
        <w:trPr>
          <w:cantSplit/>
        </w:trPr>
        <w:tc>
          <w:tcPr>
            <w:tcW w:type="dxa" w:w="4200"/>
            <w:vAlign w:val="top"/>
          </w:tcPr>
          <w:p>
            <w:pPr>
              <w:spacing w:after="20" w:before="0" w:line="240" w:lineRule="auto"/>
            </w:pPr>
            <w:r>
              <w:rPr>
                <w:color w:val="1B1C19"/>
                <w:sz w:val="14"/>
              </w:rPr>
              <w:t>Escalation path exists when AI output conflicts with human judgment, policy, evidence, or controls</w:t>
            </w:r>
          </w:p>
        </w:tc>
        <w:tc>
          <w:tcPr>
            <w:tcW w:type="dxa" w:w="1200"/>
            <w:vAlign w:val="top"/>
          </w:tcPr>
          <w:p>
            <w:pPr>
              <w:spacing w:after="20" w:before="0" w:line="240" w:lineRule="auto"/>
            </w:pPr>
            <w:r>
              <w:rPr>
                <w:color w:val="1B1C19"/>
                <w:sz w:val="14"/>
              </w:rPr>
              <w:t>Yes / No / Partial</w:t>
            </w:r>
          </w:p>
        </w:tc>
        <w:tc>
          <w:tcPr>
            <w:tcW w:type="dxa" w:w="3600"/>
            <w:vAlign w:val="top"/>
          </w:tcPr>
          <w:p>
            <w:pPr>
              <w:spacing w:after="20" w:before="0" w:line="240" w:lineRule="auto"/>
            </w:pPr>
            <w:r>
              <w:rPr>
                <w:color w:val="1B1C19"/>
                <w:sz w:val="14"/>
              </w:rPr>
              <w:t>Conflicts should not be solved in side channels.</w:t>
            </w:r>
          </w:p>
        </w:tc>
      </w:tr>
    </w:tbl>
    <w:p/>
    <w:p>
      <w:pPr>
        <w:pStyle w:val="Heading2"/>
      </w:pPr>
      <w:r>
        <w:rPr>
          <w:rFonts w:ascii="Aptos Display" w:hAnsi="Aptos Display"/>
          <w:color w:val="556348"/>
        </w:rPr>
        <w:t>3. Data, source, and knowledge boundary</w:t>
      </w:r>
    </w:p>
    <w:tbl>
      <w:tblPr>
        <w:tblStyle w:val="TableGrid"/>
        <w:tblW w:type="auto" w:w="0"/>
        <w:jc w:val="center"/>
        <w:tblLook w:firstColumn="1" w:firstRow="1" w:lastColumn="0" w:lastRow="0" w:noHBand="0" w:noVBand="1" w:val="04A0"/>
      </w:tblPr>
      <w:tblGrid>
        <w:gridCol w:w="3552"/>
        <w:gridCol w:w="3552"/>
        <w:gridCol w:w="3552"/>
      </w:tblGrid>
      <w:tr>
        <w:trPr>
          <w:cantSplit/>
        </w:trPr>
        <w:tc>
          <w:tcPr>
            <w:tcW w:type="dxa" w:w="4200"/>
            <w:vAlign w:val="top"/>
            <w:shd w:fill="2D3924"/>
          </w:tcPr>
          <w:p>
            <w:pPr>
              <w:spacing w:after="20" w:before="0" w:line="240" w:lineRule="auto"/>
            </w:pPr>
            <w:r>
              <w:rPr>
                <w:b/>
                <w:color w:val="FFFFFF"/>
                <w:sz w:val="15"/>
              </w:rPr>
              <w:t>Checklist item</w:t>
            </w:r>
          </w:p>
        </w:tc>
        <w:tc>
          <w:tcPr>
            <w:tcW w:type="dxa" w:w="1200"/>
            <w:vAlign w:val="top"/>
            <w:shd w:fill="2D3924"/>
          </w:tcPr>
          <w:p>
            <w:pPr>
              <w:spacing w:after="20" w:before="0" w:line="240" w:lineRule="auto"/>
            </w:pPr>
            <w:r>
              <w:rPr>
                <w:b/>
                <w:color w:val="FFFFFF"/>
                <w:sz w:val="15"/>
              </w:rPr>
              <w:t>Status</w:t>
            </w:r>
          </w:p>
        </w:tc>
        <w:tc>
          <w:tcPr>
            <w:tcW w:type="dxa" w:w="3600"/>
            <w:vAlign w:val="top"/>
            <w:shd w:fill="2D3924"/>
          </w:tcPr>
          <w:p>
            <w:pPr>
              <w:spacing w:after="20" w:before="0" w:line="240" w:lineRule="auto"/>
            </w:pPr>
            <w:r>
              <w:rPr>
                <w:b/>
                <w:color w:val="FFFFFF"/>
                <w:sz w:val="15"/>
              </w:rPr>
              <w:t>Guidance</w:t>
            </w:r>
          </w:p>
        </w:tc>
      </w:tr>
      <w:tr>
        <w:trPr>
          <w:cantSplit/>
        </w:trPr>
        <w:tc>
          <w:tcPr>
            <w:tcW w:type="dxa" w:w="4200"/>
            <w:vAlign w:val="top"/>
          </w:tcPr>
          <w:p>
            <w:pPr>
              <w:spacing w:after="20" w:before="0" w:line="240" w:lineRule="auto"/>
            </w:pPr>
            <w:r>
              <w:rPr>
                <w:color w:val="1B1C19"/>
                <w:sz w:val="14"/>
              </w:rPr>
              <w:t>Approved sources are named and owned</w:t>
            </w:r>
          </w:p>
        </w:tc>
        <w:tc>
          <w:tcPr>
            <w:tcW w:type="dxa" w:w="1200"/>
            <w:vAlign w:val="top"/>
          </w:tcPr>
          <w:p>
            <w:pPr>
              <w:spacing w:after="20" w:before="0" w:line="240" w:lineRule="auto"/>
            </w:pPr>
            <w:r>
              <w:rPr>
                <w:color w:val="1B1C19"/>
                <w:sz w:val="14"/>
              </w:rPr>
              <w:t>Yes / No / Partial</w:t>
            </w:r>
          </w:p>
        </w:tc>
        <w:tc>
          <w:tcPr>
            <w:tcW w:type="dxa" w:w="3600"/>
            <w:vAlign w:val="top"/>
          </w:tcPr>
          <w:p>
            <w:pPr>
              <w:spacing w:after="20" w:before="0" w:line="240" w:lineRule="auto"/>
            </w:pPr>
            <w:r>
              <w:rPr>
                <w:color w:val="1B1C19"/>
                <w:sz w:val="14"/>
              </w:rPr>
              <w:t>List systems, documents, dashboards, repositories, APIs, and knowledge objects.</w:t>
            </w:r>
          </w:p>
        </w:tc>
      </w:tr>
      <w:tr>
        <w:trPr>
          <w:cantSplit/>
        </w:trPr>
        <w:tc>
          <w:tcPr>
            <w:tcW w:type="dxa" w:w="4200"/>
            <w:vAlign w:val="top"/>
            <w:shd w:fill="F0EEE9"/>
          </w:tcPr>
          <w:p>
            <w:pPr>
              <w:spacing w:after="20" w:before="0" w:line="240" w:lineRule="auto"/>
            </w:pPr>
            <w:r>
              <w:rPr>
                <w:color w:val="1B1C19"/>
                <w:sz w:val="14"/>
              </w:rPr>
              <w:t>Blocked sources and sensitive data classes are named</w:t>
            </w:r>
          </w:p>
        </w:tc>
        <w:tc>
          <w:tcPr>
            <w:tcW w:type="dxa" w:w="1200"/>
            <w:vAlign w:val="top"/>
            <w:shd w:fill="F0EEE9"/>
          </w:tcPr>
          <w:p>
            <w:pPr>
              <w:spacing w:after="20" w:before="0" w:line="240" w:lineRule="auto"/>
            </w:pPr>
            <w:r>
              <w:rPr>
                <w:color w:val="1B1C19"/>
                <w:sz w:val="14"/>
              </w:rPr>
              <w:t>Yes / No / Partial</w:t>
            </w:r>
          </w:p>
        </w:tc>
        <w:tc>
          <w:tcPr>
            <w:tcW w:type="dxa" w:w="3600"/>
            <w:vAlign w:val="top"/>
            <w:shd w:fill="F0EEE9"/>
          </w:tcPr>
          <w:p>
            <w:pPr>
              <w:spacing w:after="20" w:before="0" w:line="240" w:lineRule="auto"/>
            </w:pPr>
            <w:r>
              <w:rPr>
                <w:color w:val="1B1C19"/>
                <w:sz w:val="14"/>
              </w:rPr>
              <w:t>Include personal, confidential, regulated, stale, draft, private, and unsupported sources.</w:t>
            </w:r>
          </w:p>
        </w:tc>
      </w:tr>
      <w:tr>
        <w:trPr>
          <w:cantSplit/>
        </w:trPr>
        <w:tc>
          <w:tcPr>
            <w:tcW w:type="dxa" w:w="4200"/>
            <w:vAlign w:val="top"/>
          </w:tcPr>
          <w:p>
            <w:pPr>
              <w:spacing w:after="20" w:before="0" w:line="240" w:lineRule="auto"/>
            </w:pPr>
            <w:r>
              <w:rPr>
                <w:color w:val="1B1C19"/>
                <w:sz w:val="14"/>
              </w:rPr>
              <w:t>Source-of-truth rule is documented</w:t>
            </w:r>
          </w:p>
        </w:tc>
        <w:tc>
          <w:tcPr>
            <w:tcW w:type="dxa" w:w="1200"/>
            <w:vAlign w:val="top"/>
          </w:tcPr>
          <w:p>
            <w:pPr>
              <w:spacing w:after="20" w:before="0" w:line="240" w:lineRule="auto"/>
            </w:pPr>
            <w:r>
              <w:rPr>
                <w:color w:val="1B1C19"/>
                <w:sz w:val="14"/>
              </w:rPr>
              <w:t>Yes / No / Partial</w:t>
            </w:r>
          </w:p>
        </w:tc>
        <w:tc>
          <w:tcPr>
            <w:tcW w:type="dxa" w:w="3600"/>
            <w:vAlign w:val="top"/>
          </w:tcPr>
          <w:p>
            <w:pPr>
              <w:spacing w:after="20" w:before="0" w:line="240" w:lineRule="auto"/>
            </w:pPr>
            <w:r>
              <w:rPr>
                <w:color w:val="1B1C19"/>
                <w:sz w:val="14"/>
              </w:rPr>
              <w:t>Define what source wins when sources conflict.</w:t>
            </w:r>
          </w:p>
        </w:tc>
      </w:tr>
      <w:tr>
        <w:trPr>
          <w:cantSplit/>
        </w:trPr>
        <w:tc>
          <w:tcPr>
            <w:tcW w:type="dxa" w:w="4200"/>
            <w:vAlign w:val="top"/>
            <w:shd w:fill="F0EEE9"/>
          </w:tcPr>
          <w:p>
            <w:pPr>
              <w:spacing w:after="20" w:before="0" w:line="240" w:lineRule="auto"/>
            </w:pPr>
            <w:r>
              <w:rPr>
                <w:color w:val="1B1C19"/>
                <w:sz w:val="14"/>
              </w:rPr>
              <w:t>Freshness window is defined for AI-readable knowledge</w:t>
            </w:r>
          </w:p>
        </w:tc>
        <w:tc>
          <w:tcPr>
            <w:tcW w:type="dxa" w:w="1200"/>
            <w:vAlign w:val="top"/>
            <w:shd w:fill="F0EEE9"/>
          </w:tcPr>
          <w:p>
            <w:pPr>
              <w:spacing w:after="20" w:before="0" w:line="240" w:lineRule="auto"/>
            </w:pPr>
            <w:r>
              <w:rPr>
                <w:color w:val="1B1C19"/>
                <w:sz w:val="14"/>
              </w:rPr>
              <w:t>Yes / No / Partial</w:t>
            </w:r>
          </w:p>
        </w:tc>
        <w:tc>
          <w:tcPr>
            <w:tcW w:type="dxa" w:w="3600"/>
            <w:vAlign w:val="top"/>
            <w:shd w:fill="F0EEE9"/>
          </w:tcPr>
          <w:p>
            <w:pPr>
              <w:spacing w:after="20" w:before="0" w:line="240" w:lineRule="auto"/>
            </w:pPr>
            <w:r>
              <w:rPr>
                <w:color w:val="1B1C19"/>
                <w:sz w:val="14"/>
              </w:rPr>
              <w:t>Stale knowledge should trigger warning, review, or blocked use.</w:t>
            </w:r>
          </w:p>
        </w:tc>
      </w:tr>
      <w:tr>
        <w:trPr>
          <w:cantSplit/>
        </w:trPr>
        <w:tc>
          <w:tcPr>
            <w:tcW w:type="dxa" w:w="4200"/>
            <w:vAlign w:val="top"/>
          </w:tcPr>
          <w:p>
            <w:pPr>
              <w:spacing w:after="20" w:before="0" w:line="240" w:lineRule="auto"/>
            </w:pPr>
            <w:r>
              <w:rPr>
                <w:color w:val="1B1C19"/>
                <w:sz w:val="14"/>
              </w:rPr>
              <w:t>Data lineage and evidence traceability are sufficient for the use case impact tier</w:t>
            </w:r>
          </w:p>
        </w:tc>
        <w:tc>
          <w:tcPr>
            <w:tcW w:type="dxa" w:w="1200"/>
            <w:vAlign w:val="top"/>
          </w:tcPr>
          <w:p>
            <w:pPr>
              <w:spacing w:after="20" w:before="0" w:line="240" w:lineRule="auto"/>
            </w:pPr>
            <w:r>
              <w:rPr>
                <w:color w:val="1B1C19"/>
                <w:sz w:val="14"/>
              </w:rPr>
              <w:t>Yes / No / Partial</w:t>
            </w:r>
          </w:p>
        </w:tc>
        <w:tc>
          <w:tcPr>
            <w:tcW w:type="dxa" w:w="3600"/>
            <w:vAlign w:val="top"/>
          </w:tcPr>
          <w:p>
            <w:pPr>
              <w:spacing w:after="20" w:before="0" w:line="240" w:lineRule="auto"/>
            </w:pPr>
            <w:r>
              <w:rPr>
                <w:color w:val="1B1C19"/>
                <w:sz w:val="14"/>
              </w:rPr>
              <w:t>Higher impact use cases need stronger lineage.</w:t>
            </w:r>
          </w:p>
        </w:tc>
      </w:tr>
    </w:tbl>
    <w:p/>
    <w:p>
      <w:pPr>
        <w:pStyle w:val="Heading2"/>
      </w:pPr>
      <w:r>
        <w:rPr>
          <w:rFonts w:ascii="Aptos Display" w:hAnsi="Aptos Display"/>
          <w:color w:val="556348"/>
        </w:rPr>
        <w:t>4. Model, vendor, and platform governance</w:t>
      </w:r>
    </w:p>
    <w:tbl>
      <w:tblPr>
        <w:tblStyle w:val="TableGrid"/>
        <w:tblW w:type="auto" w:w="0"/>
        <w:jc w:val="center"/>
        <w:tblLook w:firstColumn="1" w:firstRow="1" w:lastColumn="0" w:lastRow="0" w:noHBand="0" w:noVBand="1" w:val="04A0"/>
      </w:tblPr>
      <w:tblGrid>
        <w:gridCol w:w="3552"/>
        <w:gridCol w:w="3552"/>
        <w:gridCol w:w="3552"/>
      </w:tblGrid>
      <w:tr>
        <w:trPr>
          <w:cantSplit/>
        </w:trPr>
        <w:tc>
          <w:tcPr>
            <w:tcW w:type="dxa" w:w="4200"/>
            <w:vAlign w:val="top"/>
            <w:shd w:fill="2D3924"/>
          </w:tcPr>
          <w:p>
            <w:pPr>
              <w:spacing w:after="20" w:before="0" w:line="240" w:lineRule="auto"/>
            </w:pPr>
            <w:r>
              <w:rPr>
                <w:b/>
                <w:color w:val="FFFFFF"/>
                <w:sz w:val="15"/>
              </w:rPr>
              <w:t>Checklist item</w:t>
            </w:r>
          </w:p>
        </w:tc>
        <w:tc>
          <w:tcPr>
            <w:tcW w:type="dxa" w:w="1200"/>
            <w:vAlign w:val="top"/>
            <w:shd w:fill="2D3924"/>
          </w:tcPr>
          <w:p>
            <w:pPr>
              <w:spacing w:after="20" w:before="0" w:line="240" w:lineRule="auto"/>
            </w:pPr>
            <w:r>
              <w:rPr>
                <w:b/>
                <w:color w:val="FFFFFF"/>
                <w:sz w:val="15"/>
              </w:rPr>
              <w:t>Status</w:t>
            </w:r>
          </w:p>
        </w:tc>
        <w:tc>
          <w:tcPr>
            <w:tcW w:type="dxa" w:w="3600"/>
            <w:vAlign w:val="top"/>
            <w:shd w:fill="2D3924"/>
          </w:tcPr>
          <w:p>
            <w:pPr>
              <w:spacing w:after="20" w:before="0" w:line="240" w:lineRule="auto"/>
            </w:pPr>
            <w:r>
              <w:rPr>
                <w:b/>
                <w:color w:val="FFFFFF"/>
                <w:sz w:val="15"/>
              </w:rPr>
              <w:t>Guidance</w:t>
            </w:r>
          </w:p>
        </w:tc>
      </w:tr>
      <w:tr>
        <w:trPr>
          <w:cantSplit/>
        </w:trPr>
        <w:tc>
          <w:tcPr>
            <w:tcW w:type="dxa" w:w="4200"/>
            <w:vAlign w:val="top"/>
          </w:tcPr>
          <w:p>
            <w:pPr>
              <w:spacing w:after="20" w:before="0" w:line="240" w:lineRule="auto"/>
            </w:pPr>
            <w:r>
              <w:rPr>
                <w:color w:val="1B1C19"/>
                <w:sz w:val="14"/>
              </w:rPr>
              <w:t>Model, vendor, tool, platform, and version are documented</w:t>
            </w:r>
          </w:p>
        </w:tc>
        <w:tc>
          <w:tcPr>
            <w:tcW w:type="dxa" w:w="1200"/>
            <w:vAlign w:val="top"/>
          </w:tcPr>
          <w:p>
            <w:pPr>
              <w:spacing w:after="20" w:before="0" w:line="240" w:lineRule="auto"/>
            </w:pPr>
            <w:r>
              <w:rPr>
                <w:color w:val="1B1C19"/>
                <w:sz w:val="14"/>
              </w:rPr>
              <w:t>Yes / No / Partial</w:t>
            </w:r>
          </w:p>
        </w:tc>
        <w:tc>
          <w:tcPr>
            <w:tcW w:type="dxa" w:w="3600"/>
            <w:vAlign w:val="top"/>
          </w:tcPr>
          <w:p>
            <w:pPr>
              <w:spacing w:after="20" w:before="0" w:line="240" w:lineRule="auto"/>
            </w:pPr>
            <w:r>
              <w:rPr>
                <w:color w:val="1B1C19"/>
                <w:sz w:val="14"/>
              </w:rPr>
              <w:t>Do not govern AI generically when the implementation has specific behavior.</w:t>
            </w:r>
          </w:p>
        </w:tc>
      </w:tr>
      <w:tr>
        <w:trPr>
          <w:cantSplit/>
        </w:trPr>
        <w:tc>
          <w:tcPr>
            <w:tcW w:type="dxa" w:w="4200"/>
            <w:vAlign w:val="top"/>
            <w:shd w:fill="F0EEE9"/>
          </w:tcPr>
          <w:p>
            <w:pPr>
              <w:spacing w:after="20" w:before="0" w:line="240" w:lineRule="auto"/>
            </w:pPr>
            <w:r>
              <w:rPr>
                <w:color w:val="1B1C19"/>
                <w:sz w:val="14"/>
              </w:rPr>
              <w:t>Data handling, retention, training use, logging, and access terms are understood</w:t>
            </w:r>
          </w:p>
        </w:tc>
        <w:tc>
          <w:tcPr>
            <w:tcW w:type="dxa" w:w="1200"/>
            <w:vAlign w:val="top"/>
            <w:shd w:fill="F0EEE9"/>
          </w:tcPr>
          <w:p>
            <w:pPr>
              <w:spacing w:after="20" w:before="0" w:line="240" w:lineRule="auto"/>
            </w:pPr>
            <w:r>
              <w:rPr>
                <w:color w:val="1B1C19"/>
                <w:sz w:val="14"/>
              </w:rPr>
              <w:t>Yes / No / Partial</w:t>
            </w:r>
          </w:p>
        </w:tc>
        <w:tc>
          <w:tcPr>
            <w:tcW w:type="dxa" w:w="3600"/>
            <w:vAlign w:val="top"/>
            <w:shd w:fill="F0EEE9"/>
          </w:tcPr>
          <w:p>
            <w:pPr>
              <w:spacing w:after="20" w:before="0" w:line="240" w:lineRule="auto"/>
            </w:pPr>
            <w:r>
              <w:rPr>
                <w:color w:val="1B1C19"/>
                <w:sz w:val="14"/>
              </w:rPr>
              <w:t>Confirm vendor and enterprise terms.</w:t>
            </w:r>
          </w:p>
        </w:tc>
      </w:tr>
      <w:tr>
        <w:trPr>
          <w:cantSplit/>
        </w:trPr>
        <w:tc>
          <w:tcPr>
            <w:tcW w:type="dxa" w:w="4200"/>
            <w:vAlign w:val="top"/>
          </w:tcPr>
          <w:p>
            <w:pPr>
              <w:spacing w:after="20" w:before="0" w:line="240" w:lineRule="auto"/>
            </w:pPr>
            <w:r>
              <w:rPr>
                <w:color w:val="1B1C19"/>
                <w:sz w:val="14"/>
              </w:rPr>
              <w:t>Security, privacy, legal, procurement, and architecture review needs are classified</w:t>
            </w:r>
          </w:p>
        </w:tc>
        <w:tc>
          <w:tcPr>
            <w:tcW w:type="dxa" w:w="1200"/>
            <w:vAlign w:val="top"/>
          </w:tcPr>
          <w:p>
            <w:pPr>
              <w:spacing w:after="20" w:before="0" w:line="240" w:lineRule="auto"/>
            </w:pPr>
            <w:r>
              <w:rPr>
                <w:color w:val="1B1C19"/>
                <w:sz w:val="14"/>
              </w:rPr>
              <w:t>Yes / No / Partial</w:t>
            </w:r>
          </w:p>
        </w:tc>
        <w:tc>
          <w:tcPr>
            <w:tcW w:type="dxa" w:w="3600"/>
            <w:vAlign w:val="top"/>
          </w:tcPr>
          <w:p>
            <w:pPr>
              <w:spacing w:after="20" w:before="0" w:line="240" w:lineRule="auto"/>
            </w:pPr>
            <w:r>
              <w:rPr>
                <w:color w:val="1B1C19"/>
                <w:sz w:val="14"/>
              </w:rPr>
              <w:t>Do not assume all AI tools fit the same path.</w:t>
            </w:r>
          </w:p>
        </w:tc>
      </w:tr>
      <w:tr>
        <w:trPr>
          <w:cantSplit/>
        </w:trPr>
        <w:tc>
          <w:tcPr>
            <w:tcW w:type="dxa" w:w="4200"/>
            <w:vAlign w:val="top"/>
            <w:shd w:fill="F0EEE9"/>
          </w:tcPr>
          <w:p>
            <w:pPr>
              <w:spacing w:after="20" w:before="0" w:line="240" w:lineRule="auto"/>
            </w:pPr>
            <w:r>
              <w:rPr>
                <w:color w:val="1B1C19"/>
                <w:sz w:val="14"/>
              </w:rPr>
              <w:t>Model limitations, known failure modes, and misuse risks are documented</w:t>
            </w:r>
          </w:p>
        </w:tc>
        <w:tc>
          <w:tcPr>
            <w:tcW w:type="dxa" w:w="1200"/>
            <w:vAlign w:val="top"/>
            <w:shd w:fill="F0EEE9"/>
          </w:tcPr>
          <w:p>
            <w:pPr>
              <w:spacing w:after="20" w:before="0" w:line="240" w:lineRule="auto"/>
            </w:pPr>
            <w:r>
              <w:rPr>
                <w:color w:val="1B1C19"/>
                <w:sz w:val="14"/>
              </w:rPr>
              <w:t>Yes / No / Partial</w:t>
            </w:r>
          </w:p>
        </w:tc>
        <w:tc>
          <w:tcPr>
            <w:tcW w:type="dxa" w:w="3600"/>
            <w:vAlign w:val="top"/>
            <w:shd w:fill="F0EEE9"/>
          </w:tcPr>
          <w:p>
            <w:pPr>
              <w:spacing w:after="20" w:before="0" w:line="240" w:lineRule="auto"/>
            </w:pPr>
            <w:r>
              <w:rPr>
                <w:color w:val="1B1C19"/>
                <w:sz w:val="14"/>
              </w:rPr>
              <w:t>Use plain language that owners can understand.</w:t>
            </w:r>
          </w:p>
        </w:tc>
      </w:tr>
    </w:tbl>
    <w:p/>
    <w:p>
      <w:pPr>
        <w:pStyle w:val="Heading2"/>
      </w:pPr>
      <w:r>
        <w:rPr>
          <w:rFonts w:ascii="Aptos Display" w:hAnsi="Aptos Display"/>
          <w:color w:val="556348"/>
        </w:rPr>
        <w:t>5. Human review and operating control</w:t>
      </w:r>
    </w:p>
    <w:tbl>
      <w:tblPr>
        <w:tblStyle w:val="TableGrid"/>
        <w:tblW w:type="auto" w:w="0"/>
        <w:jc w:val="center"/>
        <w:tblLook w:firstColumn="1" w:firstRow="1" w:lastColumn="0" w:lastRow="0" w:noHBand="0" w:noVBand="1" w:val="04A0"/>
      </w:tblPr>
      <w:tblGrid>
        <w:gridCol w:w="3552"/>
        <w:gridCol w:w="3552"/>
        <w:gridCol w:w="3552"/>
      </w:tblGrid>
      <w:tr>
        <w:trPr>
          <w:cantSplit/>
        </w:trPr>
        <w:tc>
          <w:tcPr>
            <w:tcW w:type="dxa" w:w="4200"/>
            <w:vAlign w:val="top"/>
            <w:shd w:fill="2D3924"/>
          </w:tcPr>
          <w:p>
            <w:pPr>
              <w:spacing w:after="20" w:before="0" w:line="240" w:lineRule="auto"/>
            </w:pPr>
            <w:r>
              <w:rPr>
                <w:b/>
                <w:color w:val="FFFFFF"/>
                <w:sz w:val="15"/>
              </w:rPr>
              <w:t>Checklist item</w:t>
            </w:r>
          </w:p>
        </w:tc>
        <w:tc>
          <w:tcPr>
            <w:tcW w:type="dxa" w:w="1200"/>
            <w:vAlign w:val="top"/>
            <w:shd w:fill="2D3924"/>
          </w:tcPr>
          <w:p>
            <w:pPr>
              <w:spacing w:after="20" w:before="0" w:line="240" w:lineRule="auto"/>
            </w:pPr>
            <w:r>
              <w:rPr>
                <w:b/>
                <w:color w:val="FFFFFF"/>
                <w:sz w:val="15"/>
              </w:rPr>
              <w:t>Status</w:t>
            </w:r>
          </w:p>
        </w:tc>
        <w:tc>
          <w:tcPr>
            <w:tcW w:type="dxa" w:w="3600"/>
            <w:vAlign w:val="top"/>
            <w:shd w:fill="2D3924"/>
          </w:tcPr>
          <w:p>
            <w:pPr>
              <w:spacing w:after="20" w:before="0" w:line="240" w:lineRule="auto"/>
            </w:pPr>
            <w:r>
              <w:rPr>
                <w:b/>
                <w:color w:val="FFFFFF"/>
                <w:sz w:val="15"/>
              </w:rPr>
              <w:t>Guidance</w:t>
            </w:r>
          </w:p>
        </w:tc>
      </w:tr>
      <w:tr>
        <w:trPr>
          <w:cantSplit/>
        </w:trPr>
        <w:tc>
          <w:tcPr>
            <w:tcW w:type="dxa" w:w="4200"/>
            <w:vAlign w:val="top"/>
          </w:tcPr>
          <w:p>
            <w:pPr>
              <w:spacing w:after="20" w:before="0" w:line="240" w:lineRule="auto"/>
            </w:pPr>
            <w:r>
              <w:rPr>
                <w:color w:val="1B1C19"/>
                <w:sz w:val="14"/>
              </w:rPr>
              <w:t>Human review rule is specific</w:t>
            </w:r>
          </w:p>
        </w:tc>
        <w:tc>
          <w:tcPr>
            <w:tcW w:type="dxa" w:w="1200"/>
            <w:vAlign w:val="top"/>
          </w:tcPr>
          <w:p>
            <w:pPr>
              <w:spacing w:after="20" w:before="0" w:line="240" w:lineRule="auto"/>
            </w:pPr>
            <w:r>
              <w:rPr>
                <w:color w:val="1B1C19"/>
                <w:sz w:val="14"/>
              </w:rPr>
              <w:t>Yes / No / Partial</w:t>
            </w:r>
          </w:p>
        </w:tc>
        <w:tc>
          <w:tcPr>
            <w:tcW w:type="dxa" w:w="3600"/>
            <w:vAlign w:val="top"/>
          </w:tcPr>
          <w:p>
            <w:pPr>
              <w:spacing w:after="20" w:before="0" w:line="240" w:lineRule="auto"/>
            </w:pPr>
            <w:r>
              <w:rPr>
                <w:color w:val="1B1C19"/>
                <w:sz w:val="14"/>
              </w:rPr>
              <w:t>Name reviewer role, trigger, evidence, authority, and override path.</w:t>
            </w:r>
          </w:p>
        </w:tc>
      </w:tr>
      <w:tr>
        <w:trPr>
          <w:cantSplit/>
        </w:trPr>
        <w:tc>
          <w:tcPr>
            <w:tcW w:type="dxa" w:w="4200"/>
            <w:vAlign w:val="top"/>
            <w:shd w:fill="F0EEE9"/>
          </w:tcPr>
          <w:p>
            <w:pPr>
              <w:spacing w:after="20" w:before="0" w:line="240" w:lineRule="auto"/>
            </w:pPr>
            <w:r>
              <w:rPr>
                <w:color w:val="1B1C19"/>
                <w:sz w:val="14"/>
              </w:rPr>
              <w:t>Control owner is documented</w:t>
            </w:r>
          </w:p>
        </w:tc>
        <w:tc>
          <w:tcPr>
            <w:tcW w:type="dxa" w:w="1200"/>
            <w:vAlign w:val="top"/>
            <w:shd w:fill="F0EEE9"/>
          </w:tcPr>
          <w:p>
            <w:pPr>
              <w:spacing w:after="20" w:before="0" w:line="240" w:lineRule="auto"/>
            </w:pPr>
            <w:r>
              <w:rPr>
                <w:color w:val="1B1C19"/>
                <w:sz w:val="14"/>
              </w:rPr>
              <w:t>Yes / No / Partial</w:t>
            </w:r>
          </w:p>
        </w:tc>
        <w:tc>
          <w:tcPr>
            <w:tcW w:type="dxa" w:w="3600"/>
            <w:vAlign w:val="top"/>
            <w:shd w:fill="F0EEE9"/>
          </w:tcPr>
          <w:p>
            <w:pPr>
              <w:spacing w:after="20" w:before="0" w:line="240" w:lineRule="auto"/>
            </w:pPr>
            <w:r>
              <w:rPr>
                <w:color w:val="1B1C19"/>
                <w:sz w:val="14"/>
              </w:rPr>
              <w:t>Control ownership cannot be split across everyone.</w:t>
            </w:r>
          </w:p>
        </w:tc>
      </w:tr>
      <w:tr>
        <w:trPr>
          <w:cantSplit/>
        </w:trPr>
        <w:tc>
          <w:tcPr>
            <w:tcW w:type="dxa" w:w="4200"/>
            <w:vAlign w:val="top"/>
          </w:tcPr>
          <w:p>
            <w:pPr>
              <w:spacing w:after="20" w:before="0" w:line="240" w:lineRule="auto"/>
            </w:pPr>
            <w:r>
              <w:rPr>
                <w:color w:val="1B1C19"/>
                <w:sz w:val="14"/>
              </w:rPr>
              <w:t>Preventive, detective, and corrective controls are mapped</w:t>
            </w:r>
          </w:p>
        </w:tc>
        <w:tc>
          <w:tcPr>
            <w:tcW w:type="dxa" w:w="1200"/>
            <w:vAlign w:val="top"/>
          </w:tcPr>
          <w:p>
            <w:pPr>
              <w:spacing w:after="20" w:before="0" w:line="240" w:lineRule="auto"/>
            </w:pPr>
            <w:r>
              <w:rPr>
                <w:color w:val="1B1C19"/>
                <w:sz w:val="14"/>
              </w:rPr>
              <w:t>Yes / No / Partial</w:t>
            </w:r>
          </w:p>
        </w:tc>
        <w:tc>
          <w:tcPr>
            <w:tcW w:type="dxa" w:w="3600"/>
            <w:vAlign w:val="top"/>
          </w:tcPr>
          <w:p>
            <w:pPr>
              <w:spacing w:after="20" w:before="0" w:line="240" w:lineRule="auto"/>
            </w:pPr>
            <w:r>
              <w:rPr>
                <w:color w:val="1B1C19"/>
                <w:sz w:val="14"/>
              </w:rPr>
              <w:t>At minimum define guardrails, logs, monitoring, and remediation.</w:t>
            </w:r>
          </w:p>
        </w:tc>
      </w:tr>
      <w:tr>
        <w:trPr>
          <w:cantSplit/>
        </w:trPr>
        <w:tc>
          <w:tcPr>
            <w:tcW w:type="dxa" w:w="4200"/>
            <w:vAlign w:val="top"/>
            <w:shd w:fill="F0EEE9"/>
          </w:tcPr>
          <w:p>
            <w:pPr>
              <w:spacing w:after="20" w:before="0" w:line="240" w:lineRule="auto"/>
            </w:pPr>
            <w:r>
              <w:rPr>
                <w:color w:val="1B1C19"/>
                <w:sz w:val="14"/>
              </w:rPr>
              <w:t>Kill switch, pause rule, or rollback path exists</w:t>
            </w:r>
          </w:p>
        </w:tc>
        <w:tc>
          <w:tcPr>
            <w:tcW w:type="dxa" w:w="1200"/>
            <w:vAlign w:val="top"/>
            <w:shd w:fill="F0EEE9"/>
          </w:tcPr>
          <w:p>
            <w:pPr>
              <w:spacing w:after="20" w:before="0" w:line="240" w:lineRule="auto"/>
            </w:pPr>
            <w:r>
              <w:rPr>
                <w:color w:val="1B1C19"/>
                <w:sz w:val="14"/>
              </w:rPr>
              <w:t>Yes / No / Partial</w:t>
            </w:r>
          </w:p>
        </w:tc>
        <w:tc>
          <w:tcPr>
            <w:tcW w:type="dxa" w:w="3600"/>
            <w:vAlign w:val="top"/>
            <w:shd w:fill="F0EEE9"/>
          </w:tcPr>
          <w:p>
            <w:pPr>
              <w:spacing w:after="20" w:before="0" w:line="240" w:lineRule="auto"/>
            </w:pPr>
            <w:r>
              <w:rPr>
                <w:color w:val="1B1C19"/>
                <w:sz w:val="14"/>
              </w:rPr>
              <w:t>Critical AI use needs a clear stop path.</w:t>
            </w:r>
          </w:p>
        </w:tc>
      </w:tr>
    </w:tbl>
    <w:p/>
    <w:p>
      <w:pPr>
        <w:pStyle w:val="Heading2"/>
      </w:pPr>
      <w:r>
        <w:rPr>
          <w:rFonts w:ascii="Aptos Display" w:hAnsi="Aptos Display"/>
          <w:color w:val="556348"/>
        </w:rPr>
        <w:t>6. Risk, compliance, and ethics review</w:t>
      </w:r>
    </w:p>
    <w:tbl>
      <w:tblPr>
        <w:tblStyle w:val="TableGrid"/>
        <w:tblW w:type="auto" w:w="0"/>
        <w:jc w:val="center"/>
        <w:tblLook w:firstColumn="1" w:firstRow="1" w:lastColumn="0" w:lastRow="0" w:noHBand="0" w:noVBand="1" w:val="04A0"/>
      </w:tblPr>
      <w:tblGrid>
        <w:gridCol w:w="3552"/>
        <w:gridCol w:w="3552"/>
        <w:gridCol w:w="3552"/>
      </w:tblGrid>
      <w:tr>
        <w:trPr>
          <w:cantSplit/>
        </w:trPr>
        <w:tc>
          <w:tcPr>
            <w:tcW w:type="dxa" w:w="4200"/>
            <w:vAlign w:val="top"/>
            <w:shd w:fill="2D3924"/>
          </w:tcPr>
          <w:p>
            <w:pPr>
              <w:spacing w:after="20" w:before="0" w:line="240" w:lineRule="auto"/>
            </w:pPr>
            <w:r>
              <w:rPr>
                <w:b/>
                <w:color w:val="FFFFFF"/>
                <w:sz w:val="15"/>
              </w:rPr>
              <w:t>Checklist item</w:t>
            </w:r>
          </w:p>
        </w:tc>
        <w:tc>
          <w:tcPr>
            <w:tcW w:type="dxa" w:w="1200"/>
            <w:vAlign w:val="top"/>
            <w:shd w:fill="2D3924"/>
          </w:tcPr>
          <w:p>
            <w:pPr>
              <w:spacing w:after="20" w:before="0" w:line="240" w:lineRule="auto"/>
            </w:pPr>
            <w:r>
              <w:rPr>
                <w:b/>
                <w:color w:val="FFFFFF"/>
                <w:sz w:val="15"/>
              </w:rPr>
              <w:t>Status</w:t>
            </w:r>
          </w:p>
        </w:tc>
        <w:tc>
          <w:tcPr>
            <w:tcW w:type="dxa" w:w="3600"/>
            <w:vAlign w:val="top"/>
            <w:shd w:fill="2D3924"/>
          </w:tcPr>
          <w:p>
            <w:pPr>
              <w:spacing w:after="20" w:before="0" w:line="240" w:lineRule="auto"/>
            </w:pPr>
            <w:r>
              <w:rPr>
                <w:b/>
                <w:color w:val="FFFFFF"/>
                <w:sz w:val="15"/>
              </w:rPr>
              <w:t>Guidance</w:t>
            </w:r>
          </w:p>
        </w:tc>
      </w:tr>
      <w:tr>
        <w:trPr>
          <w:cantSplit/>
        </w:trPr>
        <w:tc>
          <w:tcPr>
            <w:tcW w:type="dxa" w:w="4200"/>
            <w:vAlign w:val="top"/>
          </w:tcPr>
          <w:p>
            <w:pPr>
              <w:spacing w:after="20" w:before="0" w:line="240" w:lineRule="auto"/>
            </w:pPr>
            <w:r>
              <w:rPr>
                <w:color w:val="1B1C19"/>
                <w:sz w:val="14"/>
              </w:rPr>
              <w:t>Impact tier is assigned</w:t>
            </w:r>
          </w:p>
        </w:tc>
        <w:tc>
          <w:tcPr>
            <w:tcW w:type="dxa" w:w="1200"/>
            <w:vAlign w:val="top"/>
          </w:tcPr>
          <w:p>
            <w:pPr>
              <w:spacing w:after="20" w:before="0" w:line="240" w:lineRule="auto"/>
            </w:pPr>
            <w:r>
              <w:rPr>
                <w:color w:val="1B1C19"/>
                <w:sz w:val="14"/>
              </w:rPr>
              <w:t>Yes / No / Partial</w:t>
            </w:r>
          </w:p>
        </w:tc>
        <w:tc>
          <w:tcPr>
            <w:tcW w:type="dxa" w:w="3600"/>
            <w:vAlign w:val="top"/>
          </w:tcPr>
          <w:p>
            <w:pPr>
              <w:spacing w:after="20" w:before="0" w:line="240" w:lineRule="auto"/>
            </w:pPr>
            <w:r>
              <w:rPr>
                <w:color w:val="1B1C19"/>
                <w:sz w:val="14"/>
              </w:rPr>
              <w:t>Higher impact requires stronger review and evidence.</w:t>
            </w:r>
          </w:p>
        </w:tc>
      </w:tr>
      <w:tr>
        <w:trPr>
          <w:cantSplit/>
        </w:trPr>
        <w:tc>
          <w:tcPr>
            <w:tcW w:type="dxa" w:w="4200"/>
            <w:vAlign w:val="top"/>
            <w:shd w:fill="F0EEE9"/>
          </w:tcPr>
          <w:p>
            <w:pPr>
              <w:spacing w:after="20" w:before="0" w:line="240" w:lineRule="auto"/>
            </w:pPr>
            <w:r>
              <w:rPr>
                <w:color w:val="1B1C19"/>
                <w:sz w:val="14"/>
              </w:rPr>
              <w:t>Customer, employee, financial, compliance, security, privacy, or regulatory impact is classified</w:t>
            </w:r>
          </w:p>
        </w:tc>
        <w:tc>
          <w:tcPr>
            <w:tcW w:type="dxa" w:w="1200"/>
            <w:vAlign w:val="top"/>
            <w:shd w:fill="F0EEE9"/>
          </w:tcPr>
          <w:p>
            <w:pPr>
              <w:spacing w:after="20" w:before="0" w:line="240" w:lineRule="auto"/>
            </w:pPr>
            <w:r>
              <w:rPr>
                <w:color w:val="1B1C19"/>
                <w:sz w:val="14"/>
              </w:rPr>
              <w:t>Yes / No / Partial</w:t>
            </w:r>
          </w:p>
        </w:tc>
        <w:tc>
          <w:tcPr>
            <w:tcW w:type="dxa" w:w="3600"/>
            <w:vAlign w:val="top"/>
            <w:shd w:fill="F0EEE9"/>
          </w:tcPr>
          <w:p>
            <w:pPr>
              <w:spacing w:after="20" w:before="0" w:line="240" w:lineRule="auto"/>
            </w:pPr>
            <w:r>
              <w:rPr>
                <w:color w:val="1B1C19"/>
                <w:sz w:val="14"/>
              </w:rPr>
              <w:t>Material impact changes the governance route.</w:t>
            </w:r>
          </w:p>
        </w:tc>
      </w:tr>
      <w:tr>
        <w:trPr>
          <w:cantSplit/>
        </w:trPr>
        <w:tc>
          <w:tcPr>
            <w:tcW w:type="dxa" w:w="4200"/>
            <w:vAlign w:val="top"/>
          </w:tcPr>
          <w:p>
            <w:pPr>
              <w:spacing w:after="20" w:before="0" w:line="240" w:lineRule="auto"/>
            </w:pPr>
            <w:r>
              <w:rPr>
                <w:color w:val="1B1C19"/>
                <w:sz w:val="14"/>
              </w:rPr>
              <w:t>Risk acceptance is documented if residual risk remains</w:t>
            </w:r>
          </w:p>
        </w:tc>
        <w:tc>
          <w:tcPr>
            <w:tcW w:type="dxa" w:w="1200"/>
            <w:vAlign w:val="top"/>
          </w:tcPr>
          <w:p>
            <w:pPr>
              <w:spacing w:after="20" w:before="0" w:line="240" w:lineRule="auto"/>
            </w:pPr>
            <w:r>
              <w:rPr>
                <w:color w:val="1B1C19"/>
                <w:sz w:val="14"/>
              </w:rPr>
              <w:t>Yes / No / Partial</w:t>
            </w:r>
          </w:p>
        </w:tc>
        <w:tc>
          <w:tcPr>
            <w:tcW w:type="dxa" w:w="3600"/>
            <w:vAlign w:val="top"/>
          </w:tcPr>
          <w:p>
            <w:pPr>
              <w:spacing w:after="20" w:before="0" w:line="240" w:lineRule="auto"/>
            </w:pPr>
            <w:r>
              <w:rPr>
                <w:color w:val="1B1C19"/>
                <w:sz w:val="14"/>
              </w:rPr>
              <w:t>Accepted risk must be explicit, owned, time-bound, and reviewed.</w:t>
            </w:r>
          </w:p>
        </w:tc>
      </w:tr>
      <w:tr>
        <w:trPr>
          <w:cantSplit/>
        </w:trPr>
        <w:tc>
          <w:tcPr>
            <w:tcW w:type="dxa" w:w="4200"/>
            <w:vAlign w:val="top"/>
            <w:shd w:fill="F0EEE9"/>
          </w:tcPr>
          <w:p>
            <w:pPr>
              <w:spacing w:after="20" w:before="0" w:line="240" w:lineRule="auto"/>
            </w:pPr>
            <w:r>
              <w:rPr>
                <w:color w:val="1B1C19"/>
                <w:sz w:val="14"/>
              </w:rPr>
              <w:t>Bias, harm, misuse, overreliance, and explainability risks are considered</w:t>
            </w:r>
          </w:p>
        </w:tc>
        <w:tc>
          <w:tcPr>
            <w:tcW w:type="dxa" w:w="1200"/>
            <w:vAlign w:val="top"/>
            <w:shd w:fill="F0EEE9"/>
          </w:tcPr>
          <w:p>
            <w:pPr>
              <w:spacing w:after="20" w:before="0" w:line="240" w:lineRule="auto"/>
            </w:pPr>
            <w:r>
              <w:rPr>
                <w:color w:val="1B1C19"/>
                <w:sz w:val="14"/>
              </w:rPr>
              <w:t>Yes / No / Partial</w:t>
            </w:r>
          </w:p>
        </w:tc>
        <w:tc>
          <w:tcPr>
            <w:tcW w:type="dxa" w:w="3600"/>
            <w:vAlign w:val="top"/>
            <w:shd w:fill="F0EEE9"/>
          </w:tcPr>
          <w:p>
            <w:pPr>
              <w:spacing w:after="20" w:before="0" w:line="240" w:lineRule="auto"/>
            </w:pPr>
            <w:r>
              <w:rPr>
                <w:color w:val="1B1C19"/>
                <w:sz w:val="14"/>
              </w:rPr>
              <w:t>Use practical risk language, not theory only.</w:t>
            </w:r>
          </w:p>
        </w:tc>
      </w:tr>
    </w:tbl>
    <w:p/>
    <w:p>
      <w:pPr>
        <w:pStyle w:val="Heading2"/>
      </w:pPr>
      <w:r>
        <w:rPr>
          <w:rFonts w:ascii="Aptos Display" w:hAnsi="Aptos Display"/>
          <w:color w:val="556348"/>
        </w:rPr>
        <w:t>7. Evidence, logs, and monitoring</w:t>
      </w:r>
    </w:p>
    <w:tbl>
      <w:tblPr>
        <w:tblStyle w:val="TableGrid"/>
        <w:tblW w:type="auto" w:w="0"/>
        <w:jc w:val="center"/>
        <w:tblLook w:firstColumn="1" w:firstRow="1" w:lastColumn="0" w:lastRow="0" w:noHBand="0" w:noVBand="1" w:val="04A0"/>
      </w:tblPr>
      <w:tblGrid>
        <w:gridCol w:w="3552"/>
        <w:gridCol w:w="3552"/>
        <w:gridCol w:w="3552"/>
      </w:tblGrid>
      <w:tr>
        <w:trPr>
          <w:cantSplit/>
        </w:trPr>
        <w:tc>
          <w:tcPr>
            <w:tcW w:type="dxa" w:w="4200"/>
            <w:vAlign w:val="top"/>
            <w:shd w:fill="2D3924"/>
          </w:tcPr>
          <w:p>
            <w:pPr>
              <w:spacing w:after="20" w:before="0" w:line="240" w:lineRule="auto"/>
            </w:pPr>
            <w:r>
              <w:rPr>
                <w:b/>
                <w:color w:val="FFFFFF"/>
                <w:sz w:val="15"/>
              </w:rPr>
              <w:t>Checklist item</w:t>
            </w:r>
          </w:p>
        </w:tc>
        <w:tc>
          <w:tcPr>
            <w:tcW w:type="dxa" w:w="1200"/>
            <w:vAlign w:val="top"/>
            <w:shd w:fill="2D3924"/>
          </w:tcPr>
          <w:p>
            <w:pPr>
              <w:spacing w:after="20" w:before="0" w:line="240" w:lineRule="auto"/>
            </w:pPr>
            <w:r>
              <w:rPr>
                <w:b/>
                <w:color w:val="FFFFFF"/>
                <w:sz w:val="15"/>
              </w:rPr>
              <w:t>Status</w:t>
            </w:r>
          </w:p>
        </w:tc>
        <w:tc>
          <w:tcPr>
            <w:tcW w:type="dxa" w:w="3600"/>
            <w:vAlign w:val="top"/>
            <w:shd w:fill="2D3924"/>
          </w:tcPr>
          <w:p>
            <w:pPr>
              <w:spacing w:after="20" w:before="0" w:line="240" w:lineRule="auto"/>
            </w:pPr>
            <w:r>
              <w:rPr>
                <w:b/>
                <w:color w:val="FFFFFF"/>
                <w:sz w:val="15"/>
              </w:rPr>
              <w:t>Guidance</w:t>
            </w:r>
          </w:p>
        </w:tc>
      </w:tr>
      <w:tr>
        <w:trPr>
          <w:cantSplit/>
        </w:trPr>
        <w:tc>
          <w:tcPr>
            <w:tcW w:type="dxa" w:w="4200"/>
            <w:vAlign w:val="top"/>
          </w:tcPr>
          <w:p>
            <w:pPr>
              <w:spacing w:after="20" w:before="0" w:line="240" w:lineRule="auto"/>
            </w:pPr>
            <w:r>
              <w:rPr>
                <w:color w:val="1B1C19"/>
                <w:sz w:val="14"/>
              </w:rPr>
              <w:t>Evidence package is complete enough for impact tier</w:t>
            </w:r>
          </w:p>
        </w:tc>
        <w:tc>
          <w:tcPr>
            <w:tcW w:type="dxa" w:w="1200"/>
            <w:vAlign w:val="top"/>
          </w:tcPr>
          <w:p>
            <w:pPr>
              <w:spacing w:after="20" w:before="0" w:line="240" w:lineRule="auto"/>
            </w:pPr>
            <w:r>
              <w:rPr>
                <w:color w:val="1B1C19"/>
                <w:sz w:val="14"/>
              </w:rPr>
              <w:t>Yes / No / Partial</w:t>
            </w:r>
          </w:p>
        </w:tc>
        <w:tc>
          <w:tcPr>
            <w:tcW w:type="dxa" w:w="3600"/>
            <w:vAlign w:val="top"/>
          </w:tcPr>
          <w:p>
            <w:pPr>
              <w:spacing w:after="20" w:before="0" w:line="240" w:lineRule="auto"/>
            </w:pPr>
            <w:r>
              <w:rPr>
                <w:color w:val="1B1C19"/>
                <w:sz w:val="14"/>
              </w:rPr>
              <w:t>Evidence should include source, tests, logs, approvals, validation, and operating assumptions.</w:t>
            </w:r>
          </w:p>
        </w:tc>
      </w:tr>
      <w:tr>
        <w:trPr>
          <w:cantSplit/>
        </w:trPr>
        <w:tc>
          <w:tcPr>
            <w:tcW w:type="dxa" w:w="4200"/>
            <w:vAlign w:val="top"/>
            <w:shd w:fill="F0EEE9"/>
          </w:tcPr>
          <w:p>
            <w:pPr>
              <w:spacing w:after="20" w:before="0" w:line="240" w:lineRule="auto"/>
            </w:pPr>
            <w:r>
              <w:rPr>
                <w:color w:val="1B1C19"/>
                <w:sz w:val="14"/>
              </w:rPr>
              <w:t>Output validation method is documented</w:t>
            </w:r>
          </w:p>
        </w:tc>
        <w:tc>
          <w:tcPr>
            <w:tcW w:type="dxa" w:w="1200"/>
            <w:vAlign w:val="top"/>
            <w:shd w:fill="F0EEE9"/>
          </w:tcPr>
          <w:p>
            <w:pPr>
              <w:spacing w:after="20" w:before="0" w:line="240" w:lineRule="auto"/>
            </w:pPr>
            <w:r>
              <w:rPr>
                <w:color w:val="1B1C19"/>
                <w:sz w:val="14"/>
              </w:rPr>
              <w:t>Yes / No / Partial</w:t>
            </w:r>
          </w:p>
        </w:tc>
        <w:tc>
          <w:tcPr>
            <w:tcW w:type="dxa" w:w="3600"/>
            <w:vAlign w:val="top"/>
            <w:shd w:fill="F0EEE9"/>
          </w:tcPr>
          <w:p>
            <w:pPr>
              <w:spacing w:after="20" w:before="0" w:line="240" w:lineRule="auto"/>
            </w:pPr>
            <w:r>
              <w:rPr>
                <w:color w:val="1B1C19"/>
                <w:sz w:val="14"/>
              </w:rPr>
              <w:t>Define how wrong, incomplete, stale, or harmful outputs are detected.</w:t>
            </w:r>
          </w:p>
        </w:tc>
      </w:tr>
      <w:tr>
        <w:trPr>
          <w:cantSplit/>
        </w:trPr>
        <w:tc>
          <w:tcPr>
            <w:tcW w:type="dxa" w:w="4200"/>
            <w:vAlign w:val="top"/>
          </w:tcPr>
          <w:p>
            <w:pPr>
              <w:spacing w:after="20" w:before="0" w:line="240" w:lineRule="auto"/>
            </w:pPr>
            <w:r>
              <w:rPr>
                <w:color w:val="1B1C19"/>
                <w:sz w:val="14"/>
              </w:rPr>
              <w:t>Monitoring signals are defined</w:t>
            </w:r>
          </w:p>
        </w:tc>
        <w:tc>
          <w:tcPr>
            <w:tcW w:type="dxa" w:w="1200"/>
            <w:vAlign w:val="top"/>
          </w:tcPr>
          <w:p>
            <w:pPr>
              <w:spacing w:after="20" w:before="0" w:line="240" w:lineRule="auto"/>
            </w:pPr>
            <w:r>
              <w:rPr>
                <w:color w:val="1B1C19"/>
                <w:sz w:val="14"/>
              </w:rPr>
              <w:t>Yes / No / Partial</w:t>
            </w:r>
          </w:p>
        </w:tc>
        <w:tc>
          <w:tcPr>
            <w:tcW w:type="dxa" w:w="3600"/>
            <w:vAlign w:val="top"/>
          </w:tcPr>
          <w:p>
            <w:pPr>
              <w:spacing w:after="20" w:before="0" w:line="240" w:lineRule="auto"/>
            </w:pPr>
            <w:r>
              <w:rPr>
                <w:color w:val="1B1C19"/>
                <w:sz w:val="14"/>
              </w:rPr>
              <w:t>Track accuracy, drift, incidents, overrides, user feedback, adoption, value, and control failures.</w:t>
            </w:r>
          </w:p>
        </w:tc>
      </w:tr>
      <w:tr>
        <w:trPr>
          <w:cantSplit/>
        </w:trPr>
        <w:tc>
          <w:tcPr>
            <w:tcW w:type="dxa" w:w="4200"/>
            <w:vAlign w:val="top"/>
            <w:shd w:fill="F0EEE9"/>
          </w:tcPr>
          <w:p>
            <w:pPr>
              <w:spacing w:after="20" w:before="0" w:line="240" w:lineRule="auto"/>
            </w:pPr>
            <w:r>
              <w:rPr>
                <w:color w:val="1B1C19"/>
                <w:sz w:val="14"/>
              </w:rPr>
              <w:t>Decision logs or audit records are produced where required</w:t>
            </w:r>
          </w:p>
        </w:tc>
        <w:tc>
          <w:tcPr>
            <w:tcW w:type="dxa" w:w="1200"/>
            <w:vAlign w:val="top"/>
            <w:shd w:fill="F0EEE9"/>
          </w:tcPr>
          <w:p>
            <w:pPr>
              <w:spacing w:after="20" w:before="0" w:line="240" w:lineRule="auto"/>
            </w:pPr>
            <w:r>
              <w:rPr>
                <w:color w:val="1B1C19"/>
                <w:sz w:val="14"/>
              </w:rPr>
              <w:t>Yes / No / Partial</w:t>
            </w:r>
          </w:p>
        </w:tc>
        <w:tc>
          <w:tcPr>
            <w:tcW w:type="dxa" w:w="3600"/>
            <w:vAlign w:val="top"/>
            <w:shd w:fill="F0EEE9"/>
          </w:tcPr>
          <w:p>
            <w:pPr>
              <w:spacing w:after="20" w:before="0" w:line="240" w:lineRule="auto"/>
            </w:pPr>
            <w:r>
              <w:rPr>
                <w:color w:val="1B1C19"/>
                <w:sz w:val="14"/>
              </w:rPr>
              <w:t>Critical AI decisions need replayability.</w:t>
            </w:r>
          </w:p>
        </w:tc>
      </w:tr>
    </w:tbl>
    <w:p/>
    <w:p>
      <w:pPr>
        <w:pStyle w:val="Heading2"/>
      </w:pPr>
      <w:r>
        <w:rPr>
          <w:rFonts w:ascii="Aptos Display" w:hAnsi="Aptos Display"/>
          <w:color w:val="556348"/>
        </w:rPr>
        <w:t>8. Launch, scale, and lifecycle governance</w:t>
      </w:r>
    </w:p>
    <w:tbl>
      <w:tblPr>
        <w:tblStyle w:val="TableGrid"/>
        <w:tblW w:type="auto" w:w="0"/>
        <w:jc w:val="center"/>
        <w:tblLook w:firstColumn="1" w:firstRow="1" w:lastColumn="0" w:lastRow="0" w:noHBand="0" w:noVBand="1" w:val="04A0"/>
      </w:tblPr>
      <w:tblGrid>
        <w:gridCol w:w="3552"/>
        <w:gridCol w:w="3552"/>
        <w:gridCol w:w="3552"/>
      </w:tblGrid>
      <w:tr>
        <w:trPr>
          <w:cantSplit/>
        </w:trPr>
        <w:tc>
          <w:tcPr>
            <w:tcW w:type="dxa" w:w="4200"/>
            <w:vAlign w:val="top"/>
            <w:shd w:fill="2D3924"/>
          </w:tcPr>
          <w:p>
            <w:pPr>
              <w:spacing w:after="20" w:before="0" w:line="240" w:lineRule="auto"/>
            </w:pPr>
            <w:r>
              <w:rPr>
                <w:b/>
                <w:color w:val="FFFFFF"/>
                <w:sz w:val="15"/>
              </w:rPr>
              <w:t>Checklist item</w:t>
            </w:r>
          </w:p>
        </w:tc>
        <w:tc>
          <w:tcPr>
            <w:tcW w:type="dxa" w:w="1200"/>
            <w:vAlign w:val="top"/>
            <w:shd w:fill="2D3924"/>
          </w:tcPr>
          <w:p>
            <w:pPr>
              <w:spacing w:after="20" w:before="0" w:line="240" w:lineRule="auto"/>
            </w:pPr>
            <w:r>
              <w:rPr>
                <w:b/>
                <w:color w:val="FFFFFF"/>
                <w:sz w:val="15"/>
              </w:rPr>
              <w:t>Status</w:t>
            </w:r>
          </w:p>
        </w:tc>
        <w:tc>
          <w:tcPr>
            <w:tcW w:type="dxa" w:w="3600"/>
            <w:vAlign w:val="top"/>
            <w:shd w:fill="2D3924"/>
          </w:tcPr>
          <w:p>
            <w:pPr>
              <w:spacing w:after="20" w:before="0" w:line="240" w:lineRule="auto"/>
            </w:pPr>
            <w:r>
              <w:rPr>
                <w:b/>
                <w:color w:val="FFFFFF"/>
                <w:sz w:val="15"/>
              </w:rPr>
              <w:t>Guidance</w:t>
            </w:r>
          </w:p>
        </w:tc>
      </w:tr>
      <w:tr>
        <w:trPr>
          <w:cantSplit/>
        </w:trPr>
        <w:tc>
          <w:tcPr>
            <w:tcW w:type="dxa" w:w="4200"/>
            <w:vAlign w:val="top"/>
          </w:tcPr>
          <w:p>
            <w:pPr>
              <w:spacing w:after="20" w:before="0" w:line="240" w:lineRule="auto"/>
            </w:pPr>
            <w:r>
              <w:rPr>
                <w:color w:val="1B1C19"/>
                <w:sz w:val="14"/>
              </w:rPr>
              <w:t>Launch gate is defined</w:t>
            </w:r>
          </w:p>
        </w:tc>
        <w:tc>
          <w:tcPr>
            <w:tcW w:type="dxa" w:w="1200"/>
            <w:vAlign w:val="top"/>
          </w:tcPr>
          <w:p>
            <w:pPr>
              <w:spacing w:after="20" w:before="0" w:line="240" w:lineRule="auto"/>
            </w:pPr>
            <w:r>
              <w:rPr>
                <w:color w:val="1B1C19"/>
                <w:sz w:val="14"/>
              </w:rPr>
              <w:t>Yes / No / Partial</w:t>
            </w:r>
          </w:p>
        </w:tc>
        <w:tc>
          <w:tcPr>
            <w:tcW w:type="dxa" w:w="3600"/>
            <w:vAlign w:val="top"/>
          </w:tcPr>
          <w:p>
            <w:pPr>
              <w:spacing w:after="20" w:before="0" w:line="240" w:lineRule="auto"/>
            </w:pPr>
            <w:r>
              <w:rPr>
                <w:color w:val="1B1C19"/>
                <w:sz w:val="14"/>
              </w:rPr>
              <w:t>Idea, discovery, pilot, production, scaled, restricted, paused, or retired.</w:t>
            </w:r>
          </w:p>
        </w:tc>
      </w:tr>
      <w:tr>
        <w:trPr>
          <w:cantSplit/>
        </w:trPr>
        <w:tc>
          <w:tcPr>
            <w:tcW w:type="dxa" w:w="4200"/>
            <w:vAlign w:val="top"/>
            <w:shd w:fill="F0EEE9"/>
          </w:tcPr>
          <w:p>
            <w:pPr>
              <w:spacing w:after="20" w:before="0" w:line="240" w:lineRule="auto"/>
            </w:pPr>
            <w:r>
              <w:rPr>
                <w:color w:val="1B1C19"/>
                <w:sz w:val="14"/>
              </w:rPr>
              <w:t>Scale criteria are defined before broad rollout</w:t>
            </w:r>
          </w:p>
        </w:tc>
        <w:tc>
          <w:tcPr>
            <w:tcW w:type="dxa" w:w="1200"/>
            <w:vAlign w:val="top"/>
            <w:shd w:fill="F0EEE9"/>
          </w:tcPr>
          <w:p>
            <w:pPr>
              <w:spacing w:after="20" w:before="0" w:line="240" w:lineRule="auto"/>
            </w:pPr>
            <w:r>
              <w:rPr>
                <w:color w:val="1B1C19"/>
                <w:sz w:val="14"/>
              </w:rPr>
              <w:t>Yes / No / Partial</w:t>
            </w:r>
          </w:p>
        </w:tc>
        <w:tc>
          <w:tcPr>
            <w:tcW w:type="dxa" w:w="3600"/>
            <w:vAlign w:val="top"/>
            <w:shd w:fill="F0EEE9"/>
          </w:tcPr>
          <w:p>
            <w:pPr>
              <w:spacing w:after="20" w:before="0" w:line="240" w:lineRule="auto"/>
            </w:pPr>
            <w:r>
              <w:rPr>
                <w:color w:val="1B1C19"/>
                <w:sz w:val="14"/>
              </w:rPr>
              <w:t>Pilot success does not automatically mean enterprise scale.</w:t>
            </w:r>
          </w:p>
        </w:tc>
      </w:tr>
      <w:tr>
        <w:trPr>
          <w:cantSplit/>
        </w:trPr>
        <w:tc>
          <w:tcPr>
            <w:tcW w:type="dxa" w:w="4200"/>
            <w:vAlign w:val="top"/>
          </w:tcPr>
          <w:p>
            <w:pPr>
              <w:spacing w:after="20" w:before="0" w:line="240" w:lineRule="auto"/>
            </w:pPr>
            <w:r>
              <w:rPr>
                <w:color w:val="1B1C19"/>
                <w:sz w:val="14"/>
              </w:rPr>
              <w:t>Review cadence and trigger conditions are documented</w:t>
            </w:r>
          </w:p>
        </w:tc>
        <w:tc>
          <w:tcPr>
            <w:tcW w:type="dxa" w:w="1200"/>
            <w:vAlign w:val="top"/>
          </w:tcPr>
          <w:p>
            <w:pPr>
              <w:spacing w:after="20" w:before="0" w:line="240" w:lineRule="auto"/>
            </w:pPr>
            <w:r>
              <w:rPr>
                <w:color w:val="1B1C19"/>
                <w:sz w:val="14"/>
              </w:rPr>
              <w:t>Yes / No / Partial</w:t>
            </w:r>
          </w:p>
        </w:tc>
        <w:tc>
          <w:tcPr>
            <w:tcW w:type="dxa" w:w="3600"/>
            <w:vAlign w:val="top"/>
          </w:tcPr>
          <w:p>
            <w:pPr>
              <w:spacing w:after="20" w:before="0" w:line="240" w:lineRule="auto"/>
            </w:pPr>
            <w:r>
              <w:rPr>
                <w:color w:val="1B1C19"/>
                <w:sz w:val="14"/>
              </w:rPr>
              <w:t>Review on incidents, data change, policy change, vendor change, model change, drift, and value degradation.</w:t>
            </w:r>
          </w:p>
        </w:tc>
      </w:tr>
      <w:tr>
        <w:trPr>
          <w:cantSplit/>
        </w:trPr>
        <w:tc>
          <w:tcPr>
            <w:tcW w:type="dxa" w:w="4200"/>
            <w:vAlign w:val="top"/>
            <w:shd w:fill="F0EEE9"/>
          </w:tcPr>
          <w:p>
            <w:pPr>
              <w:spacing w:after="20" w:before="0" w:line="240" w:lineRule="auto"/>
            </w:pPr>
            <w:r>
              <w:rPr>
                <w:color w:val="1B1C19"/>
                <w:sz w:val="14"/>
              </w:rPr>
              <w:t>Retirement or supersession rule is documented</w:t>
            </w:r>
          </w:p>
        </w:tc>
        <w:tc>
          <w:tcPr>
            <w:tcW w:type="dxa" w:w="1200"/>
            <w:vAlign w:val="top"/>
            <w:shd w:fill="F0EEE9"/>
          </w:tcPr>
          <w:p>
            <w:pPr>
              <w:spacing w:after="20" w:before="0" w:line="240" w:lineRule="auto"/>
            </w:pPr>
            <w:r>
              <w:rPr>
                <w:color w:val="1B1C19"/>
                <w:sz w:val="14"/>
              </w:rPr>
              <w:t>Yes / No / Partial</w:t>
            </w:r>
          </w:p>
        </w:tc>
        <w:tc>
          <w:tcPr>
            <w:tcW w:type="dxa" w:w="3600"/>
            <w:vAlign w:val="top"/>
            <w:shd w:fill="F0EEE9"/>
          </w:tcPr>
          <w:p>
            <w:pPr>
              <w:spacing w:after="20" w:before="0" w:line="240" w:lineRule="auto"/>
            </w:pPr>
            <w:r>
              <w:rPr>
                <w:color w:val="1B1C19"/>
                <w:sz w:val="14"/>
              </w:rPr>
              <w:t>AI capabilities must be removable when unsafe, stale, redundant, or low value.</w:t>
            </w:r>
          </w:p>
        </w:tc>
      </w:tr>
    </w:tbl>
    <w:p/>
    <w:p>
      <w:pPr>
        <w:pStyle w:val="Heading1"/>
      </w:pPr>
      <w:r>
        <w:rPr>
          <w:rFonts w:ascii="Aptos Display" w:hAnsi="Aptos Display"/>
          <w:color w:val="2D3924"/>
        </w:rPr>
        <w:t>Version for 500+ employee company</w:t>
      </w:r>
    </w:p>
    <w:tbl>
      <w:tblPr>
        <w:tblStyle w:val="TableGrid"/>
        <w:tblW w:type="auto" w:w="0"/>
        <w:jc w:val="center"/>
        <w:tblLook w:firstColumn="1" w:firstRow="1" w:lastColumn="0" w:lastRow="0" w:noHBand="0" w:noVBand="1" w:val="04A0"/>
      </w:tblPr>
      <w:tblGrid>
        <w:gridCol w:w="5328"/>
        <w:gridCol w:w="5328"/>
      </w:tblGrid>
      <w:tr>
        <w:trPr>
          <w:cantSplit/>
        </w:trPr>
        <w:tc>
          <w:tcPr>
            <w:tcW w:type="dxa" w:w="2200"/>
            <w:vAlign w:val="top"/>
            <w:shd w:fill="2D3924"/>
          </w:tcPr>
          <w:p>
            <w:pPr>
              <w:spacing w:after="20" w:before="0" w:line="240" w:lineRule="auto"/>
            </w:pPr>
            <w:r>
              <w:rPr>
                <w:b/>
                <w:color w:val="FFFFFF"/>
                <w:sz w:val="15"/>
              </w:rPr>
              <w:t>Dimension</w:t>
            </w:r>
          </w:p>
        </w:tc>
        <w:tc>
          <w:tcPr>
            <w:tcW w:type="dxa" w:w="6800"/>
            <w:vAlign w:val="top"/>
            <w:shd w:fill="2D3924"/>
          </w:tcPr>
          <w:p>
            <w:pPr>
              <w:spacing w:after="20" w:before="0" w:line="240" w:lineRule="auto"/>
            </w:pPr>
            <w:r>
              <w:rPr>
                <w:b/>
                <w:color w:val="FFFFFF"/>
                <w:sz w:val="15"/>
              </w:rPr>
              <w:t>Recommended pattern</w:t>
            </w:r>
          </w:p>
        </w:tc>
      </w:tr>
      <w:tr>
        <w:trPr>
          <w:cantSplit/>
        </w:trPr>
        <w:tc>
          <w:tcPr>
            <w:tcW w:type="dxa" w:w="2200"/>
            <w:vAlign w:val="top"/>
          </w:tcPr>
          <w:p>
            <w:pPr>
              <w:spacing w:after="20" w:before="0" w:line="240" w:lineRule="auto"/>
            </w:pPr>
            <w:r>
              <w:rPr>
                <w:color w:val="1B1C19"/>
                <w:sz w:val="14"/>
              </w:rPr>
              <w:t>Design intent</w:t>
            </w:r>
          </w:p>
        </w:tc>
        <w:tc>
          <w:tcPr>
            <w:tcW w:type="dxa" w:w="6800"/>
            <w:vAlign w:val="top"/>
          </w:tcPr>
          <w:p>
            <w:pPr>
              <w:spacing w:after="20" w:before="0" w:line="240" w:lineRule="auto"/>
            </w:pPr>
            <w:r>
              <w:rPr>
                <w:color w:val="1B1C19"/>
                <w:sz w:val="14"/>
              </w:rPr>
              <w:t>Create a practical AI governance checkpoint that prevents unmanaged pilots while keeping review lightweight and fast.</w:t>
            </w:r>
          </w:p>
        </w:tc>
      </w:tr>
      <w:tr>
        <w:trPr>
          <w:cantSplit/>
        </w:trPr>
        <w:tc>
          <w:tcPr>
            <w:tcW w:type="dxa" w:w="2200"/>
            <w:vAlign w:val="top"/>
            <w:shd w:fill="F0EEE9"/>
          </w:tcPr>
          <w:p>
            <w:pPr>
              <w:spacing w:after="20" w:before="0" w:line="240" w:lineRule="auto"/>
            </w:pPr>
            <w:r>
              <w:rPr>
                <w:color w:val="1B1C19"/>
                <w:sz w:val="14"/>
              </w:rPr>
              <w:t>Minimum scope</w:t>
            </w:r>
          </w:p>
        </w:tc>
        <w:tc>
          <w:tcPr>
            <w:tcW w:type="dxa" w:w="6800"/>
            <w:vAlign w:val="top"/>
            <w:shd w:fill="F0EEE9"/>
          </w:tcPr>
          <w:p>
            <w:pPr>
              <w:spacing w:after="20" w:before="0" w:line="240" w:lineRule="auto"/>
            </w:pPr>
            <w:r>
              <w:rPr>
                <w:color w:val="1B1C19"/>
                <w:sz w:val="14"/>
              </w:rPr>
              <w:t>Track business owner, use case, approved sources, AI actions, human review, risks, controls, evidence, and launch status.</w:t>
            </w:r>
          </w:p>
        </w:tc>
      </w:tr>
      <w:tr>
        <w:trPr>
          <w:cantSplit/>
        </w:trPr>
        <w:tc>
          <w:tcPr>
            <w:tcW w:type="dxa" w:w="2200"/>
            <w:vAlign w:val="top"/>
          </w:tcPr>
          <w:p>
            <w:pPr>
              <w:spacing w:after="20" w:before="0" w:line="240" w:lineRule="auto"/>
            </w:pPr>
            <w:r>
              <w:rPr>
                <w:color w:val="1B1C19"/>
                <w:sz w:val="14"/>
              </w:rPr>
              <w:t>Operating pattern</w:t>
            </w:r>
          </w:p>
        </w:tc>
        <w:tc>
          <w:tcPr>
            <w:tcW w:type="dxa" w:w="6800"/>
            <w:vAlign w:val="top"/>
          </w:tcPr>
          <w:p>
            <w:pPr>
              <w:spacing w:after="20" w:before="0" w:line="240" w:lineRule="auto"/>
            </w:pPr>
            <w:r>
              <w:rPr>
                <w:color w:val="1B1C19"/>
                <w:sz w:val="14"/>
              </w:rPr>
              <w:t>A small cross-functional AI review group reviews moderate and high-impact use cases before pilot or production use.</w:t>
            </w:r>
          </w:p>
        </w:tc>
      </w:tr>
      <w:tr>
        <w:trPr>
          <w:cantSplit/>
        </w:trPr>
        <w:tc>
          <w:tcPr>
            <w:tcW w:type="dxa" w:w="2200"/>
            <w:vAlign w:val="top"/>
            <w:shd w:fill="F0EEE9"/>
          </w:tcPr>
          <w:p>
            <w:pPr>
              <w:spacing w:after="20" w:before="0" w:line="240" w:lineRule="auto"/>
            </w:pPr>
            <w:r>
              <w:rPr>
                <w:color w:val="1B1C19"/>
                <w:sz w:val="14"/>
              </w:rPr>
              <w:t>AI focus</w:t>
            </w:r>
          </w:p>
        </w:tc>
        <w:tc>
          <w:tcPr>
            <w:tcW w:type="dxa" w:w="6800"/>
            <w:vAlign w:val="top"/>
            <w:shd w:fill="F0EEE9"/>
          </w:tcPr>
          <w:p>
            <w:pPr>
              <w:spacing w:after="20" w:before="0" w:line="240" w:lineRule="auto"/>
            </w:pPr>
            <w:r>
              <w:rPr>
                <w:color w:val="1B1C19"/>
                <w:sz w:val="14"/>
              </w:rPr>
              <w:t>Focus on ownership, approved tool use, source boundaries, human review, and preventing shadow automation.</w:t>
            </w:r>
          </w:p>
        </w:tc>
      </w:tr>
      <w:tr>
        <w:trPr>
          <w:cantSplit/>
        </w:trPr>
        <w:tc>
          <w:tcPr>
            <w:tcW w:type="dxa" w:w="2200"/>
            <w:vAlign w:val="top"/>
          </w:tcPr>
          <w:p>
            <w:pPr>
              <w:spacing w:after="20" w:before="0" w:line="240" w:lineRule="auto"/>
            </w:pPr>
            <w:r>
              <w:rPr>
                <w:color w:val="1B1C19"/>
                <w:sz w:val="14"/>
              </w:rPr>
              <w:t>Governance need</w:t>
            </w:r>
          </w:p>
        </w:tc>
        <w:tc>
          <w:tcPr>
            <w:tcW w:type="dxa" w:w="6800"/>
            <w:vAlign w:val="top"/>
          </w:tcPr>
          <w:p>
            <w:pPr>
              <w:spacing w:after="20" w:before="0" w:line="240" w:lineRule="auto"/>
            </w:pPr>
            <w:r>
              <w:rPr>
                <w:color w:val="1B1C19"/>
                <w:sz w:val="14"/>
              </w:rPr>
              <w:t>Connect to ownership map, decision rights model, source-of-truth map, control map, and risk acceptance register.</w:t>
            </w:r>
          </w:p>
        </w:tc>
      </w:tr>
      <w:tr>
        <w:trPr>
          <w:cantSplit/>
        </w:trPr>
        <w:tc>
          <w:tcPr>
            <w:tcW w:type="dxa" w:w="2200"/>
            <w:vAlign w:val="top"/>
            <w:shd w:fill="F0EEE9"/>
          </w:tcPr>
          <w:p>
            <w:pPr>
              <w:spacing w:after="20" w:before="0" w:line="240" w:lineRule="auto"/>
            </w:pPr>
            <w:r>
              <w:rPr>
                <w:color w:val="1B1C19"/>
                <w:sz w:val="14"/>
              </w:rPr>
              <w:t>Red flags</w:t>
            </w:r>
          </w:p>
        </w:tc>
        <w:tc>
          <w:tcPr>
            <w:tcW w:type="dxa" w:w="6800"/>
            <w:vAlign w:val="top"/>
            <w:shd w:fill="F0EEE9"/>
          </w:tcPr>
          <w:p>
            <w:pPr>
              <w:spacing w:after="20" w:before="0" w:line="240" w:lineRule="auto"/>
            </w:pPr>
            <w:r>
              <w:rPr>
                <w:color w:val="1B1C19"/>
                <w:sz w:val="14"/>
              </w:rPr>
              <w:t>Teams use public AI tools without data rules, pilots have no owner, and leaders measure activity instead of business outcome.</w:t>
            </w:r>
          </w:p>
        </w:tc>
      </w:tr>
    </w:tbl>
    <w:p/>
    <w:p>
      <w:pPr>
        <w:pStyle w:val="Heading1"/>
      </w:pPr>
      <w:r>
        <w:rPr>
          <w:rFonts w:ascii="Aptos Display" w:hAnsi="Aptos Display"/>
          <w:color w:val="2D3924"/>
        </w:rPr>
        <w:t>Version for 5,000+ employee company</w:t>
      </w:r>
    </w:p>
    <w:tbl>
      <w:tblPr>
        <w:tblStyle w:val="TableGrid"/>
        <w:tblW w:type="auto" w:w="0"/>
        <w:jc w:val="center"/>
        <w:tblLook w:firstColumn="1" w:firstRow="1" w:lastColumn="0" w:lastRow="0" w:noHBand="0" w:noVBand="1" w:val="04A0"/>
      </w:tblPr>
      <w:tblGrid>
        <w:gridCol w:w="5328"/>
        <w:gridCol w:w="5328"/>
      </w:tblGrid>
      <w:tr>
        <w:trPr>
          <w:cantSplit/>
        </w:trPr>
        <w:tc>
          <w:tcPr>
            <w:tcW w:type="dxa" w:w="2200"/>
            <w:vAlign w:val="top"/>
            <w:shd w:fill="2D3924"/>
          </w:tcPr>
          <w:p>
            <w:pPr>
              <w:spacing w:after="20" w:before="0" w:line="240" w:lineRule="auto"/>
            </w:pPr>
            <w:r>
              <w:rPr>
                <w:b/>
                <w:color w:val="FFFFFF"/>
                <w:sz w:val="15"/>
              </w:rPr>
              <w:t>Dimension</w:t>
            </w:r>
          </w:p>
        </w:tc>
        <w:tc>
          <w:tcPr>
            <w:tcW w:type="dxa" w:w="6800"/>
            <w:vAlign w:val="top"/>
            <w:shd w:fill="2D3924"/>
          </w:tcPr>
          <w:p>
            <w:pPr>
              <w:spacing w:after="20" w:before="0" w:line="240" w:lineRule="auto"/>
            </w:pPr>
            <w:r>
              <w:rPr>
                <w:b/>
                <w:color w:val="FFFFFF"/>
                <w:sz w:val="15"/>
              </w:rPr>
              <w:t>Recommended pattern</w:t>
            </w:r>
          </w:p>
        </w:tc>
      </w:tr>
      <w:tr>
        <w:trPr>
          <w:cantSplit/>
        </w:trPr>
        <w:tc>
          <w:tcPr>
            <w:tcW w:type="dxa" w:w="2200"/>
            <w:vAlign w:val="top"/>
          </w:tcPr>
          <w:p>
            <w:pPr>
              <w:spacing w:after="20" w:before="0" w:line="240" w:lineRule="auto"/>
            </w:pPr>
            <w:r>
              <w:rPr>
                <w:color w:val="1B1C19"/>
                <w:sz w:val="14"/>
              </w:rPr>
              <w:t>Design intent</w:t>
            </w:r>
          </w:p>
        </w:tc>
        <w:tc>
          <w:tcPr>
            <w:tcW w:type="dxa" w:w="6800"/>
            <w:vAlign w:val="top"/>
          </w:tcPr>
          <w:p>
            <w:pPr>
              <w:spacing w:after="20" w:before="0" w:line="240" w:lineRule="auto"/>
            </w:pPr>
            <w:r>
              <w:rPr>
                <w:color w:val="1B1C19"/>
                <w:sz w:val="14"/>
              </w:rPr>
              <w:t>Create federated AI governance where business units can move quickly inside enterprise policy, controls, evidence, and review rules.</w:t>
            </w:r>
          </w:p>
        </w:tc>
      </w:tr>
      <w:tr>
        <w:trPr>
          <w:cantSplit/>
        </w:trPr>
        <w:tc>
          <w:tcPr>
            <w:tcW w:type="dxa" w:w="2200"/>
            <w:vAlign w:val="top"/>
            <w:shd w:fill="F0EEE9"/>
          </w:tcPr>
          <w:p>
            <w:pPr>
              <w:spacing w:after="20" w:before="0" w:line="240" w:lineRule="auto"/>
            </w:pPr>
            <w:r>
              <w:rPr>
                <w:color w:val="1B1C19"/>
                <w:sz w:val="14"/>
              </w:rPr>
              <w:t>Minimum scope</w:t>
            </w:r>
          </w:p>
        </w:tc>
        <w:tc>
          <w:tcPr>
            <w:tcW w:type="dxa" w:w="6800"/>
            <w:vAlign w:val="top"/>
            <w:shd w:fill="F0EEE9"/>
          </w:tcPr>
          <w:p>
            <w:pPr>
              <w:spacing w:after="20" w:before="0" w:line="240" w:lineRule="auto"/>
            </w:pPr>
            <w:r>
              <w:rPr>
                <w:color w:val="1B1C19"/>
                <w:sz w:val="14"/>
              </w:rPr>
              <w:t>Add impact tiering, data classification, model/tool inventory, vendor review, logs, monitoring, escalation, and risk acceptance linkage.</w:t>
            </w:r>
          </w:p>
        </w:tc>
      </w:tr>
      <w:tr>
        <w:trPr>
          <w:cantSplit/>
        </w:trPr>
        <w:tc>
          <w:tcPr>
            <w:tcW w:type="dxa" w:w="2200"/>
            <w:vAlign w:val="top"/>
          </w:tcPr>
          <w:p>
            <w:pPr>
              <w:spacing w:after="20" w:before="0" w:line="240" w:lineRule="auto"/>
            </w:pPr>
            <w:r>
              <w:rPr>
                <w:color w:val="1B1C19"/>
                <w:sz w:val="14"/>
              </w:rPr>
              <w:t>Operating pattern</w:t>
            </w:r>
          </w:p>
        </w:tc>
        <w:tc>
          <w:tcPr>
            <w:tcW w:type="dxa" w:w="6800"/>
            <w:vAlign w:val="top"/>
          </w:tcPr>
          <w:p>
            <w:pPr>
              <w:spacing w:after="20" w:before="0" w:line="240" w:lineRule="auto"/>
            </w:pPr>
            <w:r>
              <w:rPr>
                <w:color w:val="1B1C19"/>
                <w:sz w:val="14"/>
              </w:rPr>
              <w:t>Business unit AI owners submit use cases through a common checklist, with routing to security, privacy, legal, data, risk, architecture, and governance as needed.</w:t>
            </w:r>
          </w:p>
        </w:tc>
      </w:tr>
      <w:tr>
        <w:trPr>
          <w:cantSplit/>
        </w:trPr>
        <w:tc>
          <w:tcPr>
            <w:tcW w:type="dxa" w:w="2200"/>
            <w:vAlign w:val="top"/>
            <w:shd w:fill="F0EEE9"/>
          </w:tcPr>
          <w:p>
            <w:pPr>
              <w:spacing w:after="20" w:before="0" w:line="240" w:lineRule="auto"/>
            </w:pPr>
            <w:r>
              <w:rPr>
                <w:color w:val="1B1C19"/>
                <w:sz w:val="14"/>
              </w:rPr>
              <w:t>AI focus</w:t>
            </w:r>
          </w:p>
        </w:tc>
        <w:tc>
          <w:tcPr>
            <w:tcW w:type="dxa" w:w="6800"/>
            <w:vAlign w:val="top"/>
            <w:shd w:fill="F0EEE9"/>
          </w:tcPr>
          <w:p>
            <w:pPr>
              <w:spacing w:after="20" w:before="0" w:line="240" w:lineRule="auto"/>
            </w:pPr>
            <w:r>
              <w:rPr>
                <w:color w:val="1B1C19"/>
                <w:sz w:val="14"/>
              </w:rPr>
              <w:t>Focus on preventing duplicate pilots, conflicting standards, unsafe integrations, weak evidence, and unsupported production AI.</w:t>
            </w:r>
          </w:p>
        </w:tc>
      </w:tr>
      <w:tr>
        <w:trPr>
          <w:cantSplit/>
        </w:trPr>
        <w:tc>
          <w:tcPr>
            <w:tcW w:type="dxa" w:w="2200"/>
            <w:vAlign w:val="top"/>
          </w:tcPr>
          <w:p>
            <w:pPr>
              <w:spacing w:after="20" w:before="0" w:line="240" w:lineRule="auto"/>
            </w:pPr>
            <w:r>
              <w:rPr>
                <w:color w:val="1B1C19"/>
                <w:sz w:val="14"/>
              </w:rPr>
              <w:t>Governance need</w:t>
            </w:r>
          </w:p>
        </w:tc>
        <w:tc>
          <w:tcPr>
            <w:tcW w:type="dxa" w:w="6800"/>
            <w:vAlign w:val="top"/>
          </w:tcPr>
          <w:p>
            <w:pPr>
              <w:spacing w:after="20" w:before="0" w:line="240" w:lineRule="auto"/>
            </w:pPr>
            <w:r>
              <w:rPr>
                <w:color w:val="1B1C19"/>
                <w:sz w:val="14"/>
              </w:rPr>
              <w:t>Connect to platform map, integration map, data lineage map, evidence checklist, decision log, and control map.</w:t>
            </w:r>
          </w:p>
        </w:tc>
      </w:tr>
      <w:tr>
        <w:trPr>
          <w:cantSplit/>
        </w:trPr>
        <w:tc>
          <w:tcPr>
            <w:tcW w:type="dxa" w:w="2200"/>
            <w:vAlign w:val="top"/>
            <w:shd w:fill="F0EEE9"/>
          </w:tcPr>
          <w:p>
            <w:pPr>
              <w:spacing w:after="20" w:before="0" w:line="240" w:lineRule="auto"/>
            </w:pPr>
            <w:r>
              <w:rPr>
                <w:color w:val="1B1C19"/>
                <w:sz w:val="14"/>
              </w:rPr>
              <w:t>Red flags</w:t>
            </w:r>
          </w:p>
        </w:tc>
        <w:tc>
          <w:tcPr>
            <w:tcW w:type="dxa" w:w="6800"/>
            <w:vAlign w:val="top"/>
            <w:shd w:fill="F0EEE9"/>
          </w:tcPr>
          <w:p>
            <w:pPr>
              <w:spacing w:after="20" w:before="0" w:line="240" w:lineRule="auto"/>
            </w:pPr>
            <w:r>
              <w:rPr>
                <w:color w:val="1B1C19"/>
                <w:sz w:val="14"/>
              </w:rPr>
              <w:t>Different functions create different AI rules, review is slow and unclear, and AI tools are approved without operational monitoring.</w:t>
            </w:r>
          </w:p>
        </w:tc>
      </w:tr>
    </w:tbl>
    <w:p/>
    <w:p>
      <w:pPr>
        <w:pStyle w:val="Heading1"/>
      </w:pPr>
      <w:r>
        <w:rPr>
          <w:rFonts w:ascii="Aptos Display" w:hAnsi="Aptos Display"/>
          <w:color w:val="2D3924"/>
        </w:rPr>
        <w:t>Version for 10,000+ employee company</w:t>
      </w:r>
    </w:p>
    <w:tbl>
      <w:tblPr>
        <w:tblStyle w:val="TableGrid"/>
        <w:tblW w:type="auto" w:w="0"/>
        <w:jc w:val="center"/>
        <w:tblLook w:firstColumn="1" w:firstRow="1" w:lastColumn="0" w:lastRow="0" w:noHBand="0" w:noVBand="1" w:val="04A0"/>
      </w:tblPr>
      <w:tblGrid>
        <w:gridCol w:w="5328"/>
        <w:gridCol w:w="5328"/>
      </w:tblGrid>
      <w:tr>
        <w:trPr>
          <w:cantSplit/>
        </w:trPr>
        <w:tc>
          <w:tcPr>
            <w:tcW w:type="dxa" w:w="2200"/>
            <w:vAlign w:val="top"/>
            <w:shd w:fill="2D3924"/>
          </w:tcPr>
          <w:p>
            <w:pPr>
              <w:spacing w:after="20" w:before="0" w:line="240" w:lineRule="auto"/>
            </w:pPr>
            <w:r>
              <w:rPr>
                <w:b/>
                <w:color w:val="FFFFFF"/>
                <w:sz w:val="15"/>
              </w:rPr>
              <w:t>Dimension</w:t>
            </w:r>
          </w:p>
        </w:tc>
        <w:tc>
          <w:tcPr>
            <w:tcW w:type="dxa" w:w="6800"/>
            <w:vAlign w:val="top"/>
            <w:shd w:fill="2D3924"/>
          </w:tcPr>
          <w:p>
            <w:pPr>
              <w:spacing w:after="20" w:before="0" w:line="240" w:lineRule="auto"/>
            </w:pPr>
            <w:r>
              <w:rPr>
                <w:b/>
                <w:color w:val="FFFFFF"/>
                <w:sz w:val="15"/>
              </w:rPr>
              <w:t>Recommended pattern</w:t>
            </w:r>
          </w:p>
        </w:tc>
      </w:tr>
      <w:tr>
        <w:trPr>
          <w:cantSplit/>
        </w:trPr>
        <w:tc>
          <w:tcPr>
            <w:tcW w:type="dxa" w:w="2200"/>
            <w:vAlign w:val="top"/>
          </w:tcPr>
          <w:p>
            <w:pPr>
              <w:spacing w:after="20" w:before="0" w:line="240" w:lineRule="auto"/>
            </w:pPr>
            <w:r>
              <w:rPr>
                <w:color w:val="1B1C19"/>
                <w:sz w:val="14"/>
              </w:rPr>
              <w:t>Design intent</w:t>
            </w:r>
          </w:p>
        </w:tc>
        <w:tc>
          <w:tcPr>
            <w:tcW w:type="dxa" w:w="6800"/>
            <w:vAlign w:val="top"/>
          </w:tcPr>
          <w:p>
            <w:pPr>
              <w:spacing w:after="20" w:before="0" w:line="240" w:lineRule="auto"/>
            </w:pPr>
            <w:r>
              <w:rPr>
                <w:color w:val="1B1C19"/>
                <w:sz w:val="14"/>
              </w:rPr>
              <w:t>Create enterprise AI governance that can scale across business units, regions, vendors, regulated functions, shared platforms, and autonomous agents.</w:t>
            </w:r>
          </w:p>
        </w:tc>
      </w:tr>
      <w:tr>
        <w:trPr>
          <w:cantSplit/>
        </w:trPr>
        <w:tc>
          <w:tcPr>
            <w:tcW w:type="dxa" w:w="2200"/>
            <w:vAlign w:val="top"/>
            <w:shd w:fill="F0EEE9"/>
          </w:tcPr>
          <w:p>
            <w:pPr>
              <w:spacing w:after="20" w:before="0" w:line="240" w:lineRule="auto"/>
            </w:pPr>
            <w:r>
              <w:rPr>
                <w:color w:val="1B1C19"/>
                <w:sz w:val="14"/>
              </w:rPr>
              <w:t>Minimum scope</w:t>
            </w:r>
          </w:p>
        </w:tc>
        <w:tc>
          <w:tcPr>
            <w:tcW w:type="dxa" w:w="6800"/>
            <w:vAlign w:val="top"/>
            <w:shd w:fill="F0EEE9"/>
          </w:tcPr>
          <w:p>
            <w:pPr>
              <w:spacing w:after="20" w:before="0" w:line="240" w:lineRule="auto"/>
            </w:pPr>
            <w:r>
              <w:rPr>
                <w:color w:val="1B1C19"/>
                <w:sz w:val="14"/>
              </w:rPr>
              <w:t>Full lineage across use case, owner, model/tool, data, source, control, risk, decision, approval, logs, incidents, value, and retirement path.</w:t>
            </w:r>
          </w:p>
        </w:tc>
      </w:tr>
      <w:tr>
        <w:trPr>
          <w:cantSplit/>
        </w:trPr>
        <w:tc>
          <w:tcPr>
            <w:tcW w:type="dxa" w:w="2200"/>
            <w:vAlign w:val="top"/>
          </w:tcPr>
          <w:p>
            <w:pPr>
              <w:spacing w:after="20" w:before="0" w:line="240" w:lineRule="auto"/>
            </w:pPr>
            <w:r>
              <w:rPr>
                <w:color w:val="1B1C19"/>
                <w:sz w:val="14"/>
              </w:rPr>
              <w:t>Operating pattern</w:t>
            </w:r>
          </w:p>
        </w:tc>
        <w:tc>
          <w:tcPr>
            <w:tcW w:type="dxa" w:w="6800"/>
            <w:vAlign w:val="top"/>
          </w:tcPr>
          <w:p>
            <w:pPr>
              <w:spacing w:after="20" w:before="0" w:line="240" w:lineRule="auto"/>
            </w:pPr>
            <w:r>
              <w:rPr>
                <w:color w:val="1B1C19"/>
                <w:sz w:val="14"/>
              </w:rPr>
              <w:t>Central AI governance defines policy, risk tiering, standards, and control requirements while federated owners manage intake, evidence, monitoring, and lifecycle review.</w:t>
            </w:r>
          </w:p>
        </w:tc>
      </w:tr>
      <w:tr>
        <w:trPr>
          <w:cantSplit/>
        </w:trPr>
        <w:tc>
          <w:tcPr>
            <w:tcW w:type="dxa" w:w="2200"/>
            <w:vAlign w:val="top"/>
            <w:shd w:fill="F0EEE9"/>
          </w:tcPr>
          <w:p>
            <w:pPr>
              <w:spacing w:after="20" w:before="0" w:line="240" w:lineRule="auto"/>
            </w:pPr>
            <w:r>
              <w:rPr>
                <w:color w:val="1B1C19"/>
                <w:sz w:val="14"/>
              </w:rPr>
              <w:t>AI focus</w:t>
            </w:r>
          </w:p>
        </w:tc>
        <w:tc>
          <w:tcPr>
            <w:tcW w:type="dxa" w:w="6800"/>
            <w:vAlign w:val="top"/>
            <w:shd w:fill="F0EEE9"/>
          </w:tcPr>
          <w:p>
            <w:pPr>
              <w:spacing w:after="20" w:before="0" w:line="240" w:lineRule="auto"/>
            </w:pPr>
            <w:r>
              <w:rPr>
                <w:color w:val="1B1C19"/>
                <w:sz w:val="14"/>
              </w:rPr>
              <w:t>Focus on high-impact systems, external communication, employee or customer decisions, regulated workflows, agent action, sensitive data, and control bypass risk.</w:t>
            </w:r>
          </w:p>
        </w:tc>
      </w:tr>
      <w:tr>
        <w:trPr>
          <w:cantSplit/>
        </w:trPr>
        <w:tc>
          <w:tcPr>
            <w:tcW w:type="dxa" w:w="2200"/>
            <w:vAlign w:val="top"/>
          </w:tcPr>
          <w:p>
            <w:pPr>
              <w:spacing w:after="20" w:before="0" w:line="240" w:lineRule="auto"/>
            </w:pPr>
            <w:r>
              <w:rPr>
                <w:color w:val="1B1C19"/>
                <w:sz w:val="14"/>
              </w:rPr>
              <w:t>Governance need</w:t>
            </w:r>
          </w:p>
        </w:tc>
        <w:tc>
          <w:tcPr>
            <w:tcW w:type="dxa" w:w="6800"/>
            <w:vAlign w:val="top"/>
          </w:tcPr>
          <w:p>
            <w:pPr>
              <w:spacing w:after="20" w:before="0" w:line="240" w:lineRule="auto"/>
            </w:pPr>
            <w:r>
              <w:rPr>
                <w:color w:val="1B1C19"/>
                <w:sz w:val="14"/>
              </w:rPr>
              <w:t>Integrate with GRC, model risk, data governance, privacy, security, architecture, procurement, internal audit, enterprise risk, and executive governance.</w:t>
            </w:r>
          </w:p>
        </w:tc>
      </w:tr>
      <w:tr>
        <w:trPr>
          <w:cantSplit/>
        </w:trPr>
        <w:tc>
          <w:tcPr>
            <w:tcW w:type="dxa" w:w="2200"/>
            <w:vAlign w:val="top"/>
            <w:shd w:fill="F0EEE9"/>
          </w:tcPr>
          <w:p>
            <w:pPr>
              <w:spacing w:after="20" w:before="0" w:line="240" w:lineRule="auto"/>
            </w:pPr>
            <w:r>
              <w:rPr>
                <w:color w:val="1B1C19"/>
                <w:sz w:val="14"/>
              </w:rPr>
              <w:t>Red flags</w:t>
            </w:r>
          </w:p>
        </w:tc>
        <w:tc>
          <w:tcPr>
            <w:tcW w:type="dxa" w:w="6800"/>
            <w:vAlign w:val="top"/>
            <w:shd w:fill="F0EEE9"/>
          </w:tcPr>
          <w:p>
            <w:pPr>
              <w:spacing w:after="20" w:before="0" w:line="240" w:lineRule="auto"/>
            </w:pPr>
            <w:r>
              <w:rPr>
                <w:color w:val="1B1C19"/>
                <w:sz w:val="14"/>
              </w:rPr>
              <w:t>AI is embedded in workflows without traceability, vendors change models without review, agents act across systems without ownership, and audit cannot replay decisions.</w:t>
            </w:r>
          </w:p>
        </w:tc>
      </w:tr>
    </w:tbl>
    <w:p/>
    <w:p>
      <w:pPr>
        <w:pStyle w:val="Heading1"/>
      </w:pPr>
      <w:r>
        <w:rPr>
          <w:rFonts w:ascii="Aptos Display" w:hAnsi="Aptos Display"/>
          <w:color w:val="2D3924"/>
        </w:rPr>
        <w:t>Scoring logic</w:t>
      </w:r>
    </w:p>
    <w:tbl>
      <w:tblPr>
        <w:tblStyle w:val="TableGrid"/>
        <w:tblW w:type="auto" w:w="0"/>
        <w:jc w:val="center"/>
        <w:tblLook w:firstColumn="1" w:firstRow="1" w:lastColumn="0" w:lastRow="0" w:noHBand="0" w:noVBand="1" w:val="04A0"/>
      </w:tblPr>
      <w:tblGrid>
        <w:gridCol w:w="3552"/>
        <w:gridCol w:w="3552"/>
        <w:gridCol w:w="3552"/>
      </w:tblGrid>
      <w:tr>
        <w:trPr>
          <w:cantSplit/>
        </w:trPr>
        <w:tc>
          <w:tcPr>
            <w:tcW w:type="dxa" w:w="2300"/>
            <w:vAlign w:val="top"/>
            <w:shd w:fill="2D3924"/>
          </w:tcPr>
          <w:p>
            <w:pPr>
              <w:spacing w:after="20" w:before="0" w:line="240" w:lineRule="auto"/>
            </w:pPr>
            <w:r>
              <w:rPr>
                <w:b/>
                <w:color w:val="FFFFFF"/>
                <w:sz w:val="15"/>
              </w:rPr>
              <w:t>Dimension</w:t>
            </w:r>
          </w:p>
        </w:tc>
        <w:tc>
          <w:tcPr>
            <w:tcW w:type="dxa" w:w="1000"/>
            <w:vAlign w:val="top"/>
            <w:shd w:fill="2D3924"/>
          </w:tcPr>
          <w:p>
            <w:pPr>
              <w:spacing w:after="20" w:before="0" w:line="240" w:lineRule="auto"/>
            </w:pPr>
            <w:r>
              <w:rPr>
                <w:b/>
                <w:color w:val="FFFFFF"/>
                <w:sz w:val="15"/>
              </w:rPr>
              <w:t>Score</w:t>
            </w:r>
          </w:p>
        </w:tc>
        <w:tc>
          <w:tcPr>
            <w:tcW w:type="dxa" w:w="5700"/>
            <w:vAlign w:val="top"/>
            <w:shd w:fill="2D3924"/>
          </w:tcPr>
          <w:p>
            <w:pPr>
              <w:spacing w:after="20" w:before="0" w:line="240" w:lineRule="auto"/>
            </w:pPr>
            <w:r>
              <w:rPr>
                <w:b/>
                <w:color w:val="FFFFFF"/>
                <w:sz w:val="15"/>
              </w:rPr>
              <w:t>What good looks like</w:t>
            </w:r>
          </w:p>
        </w:tc>
      </w:tr>
      <w:tr>
        <w:trPr>
          <w:cantSplit/>
        </w:trPr>
        <w:tc>
          <w:tcPr>
            <w:tcW w:type="dxa" w:w="2300"/>
            <w:vAlign w:val="top"/>
          </w:tcPr>
          <w:p>
            <w:pPr>
              <w:spacing w:after="20" w:before="0" w:line="240" w:lineRule="auto"/>
            </w:pPr>
            <w:r>
              <w:rPr>
                <w:color w:val="1B1C19"/>
                <w:sz w:val="14"/>
              </w:rPr>
              <w:t>Business ownership</w:t>
            </w:r>
          </w:p>
        </w:tc>
        <w:tc>
          <w:tcPr>
            <w:tcW w:type="dxa" w:w="1000"/>
            <w:vAlign w:val="top"/>
          </w:tcPr>
          <w:p>
            <w:pPr>
              <w:spacing w:after="20" w:before="0" w:line="240" w:lineRule="auto"/>
            </w:pPr>
            <w:r>
              <w:rPr>
                <w:color w:val="1B1C19"/>
                <w:sz w:val="14"/>
              </w:rPr>
              <w:t>0-5</w:t>
            </w:r>
          </w:p>
        </w:tc>
        <w:tc>
          <w:tcPr>
            <w:tcW w:type="dxa" w:w="5700"/>
            <w:vAlign w:val="top"/>
          </w:tcPr>
          <w:p>
            <w:pPr>
              <w:spacing w:after="20" w:before="0" w:line="240" w:lineRule="auto"/>
            </w:pPr>
            <w:r>
              <w:rPr>
                <w:color w:val="1B1C19"/>
                <w:sz w:val="14"/>
              </w:rPr>
              <w:t>A real owner is accountable for purpose, outcome, risk, value, lifecycle, and escalation.</w:t>
            </w:r>
          </w:p>
        </w:tc>
      </w:tr>
      <w:tr>
        <w:trPr>
          <w:cantSplit/>
        </w:trPr>
        <w:tc>
          <w:tcPr>
            <w:tcW w:type="dxa" w:w="2300"/>
            <w:vAlign w:val="top"/>
            <w:shd w:fill="F0EEE9"/>
          </w:tcPr>
          <w:p>
            <w:pPr>
              <w:spacing w:after="20" w:before="0" w:line="240" w:lineRule="auto"/>
            </w:pPr>
            <w:r>
              <w:rPr>
                <w:color w:val="1B1C19"/>
                <w:sz w:val="14"/>
              </w:rPr>
              <w:t>Decision boundary clarity</w:t>
            </w:r>
          </w:p>
        </w:tc>
        <w:tc>
          <w:tcPr>
            <w:tcW w:type="dxa" w:w="1000"/>
            <w:vAlign w:val="top"/>
            <w:shd w:fill="F0EEE9"/>
          </w:tcPr>
          <w:p>
            <w:pPr>
              <w:spacing w:after="20" w:before="0" w:line="240" w:lineRule="auto"/>
            </w:pPr>
            <w:r>
              <w:rPr>
                <w:color w:val="1B1C19"/>
                <w:sz w:val="14"/>
              </w:rPr>
              <w:t>0-5</w:t>
            </w:r>
          </w:p>
        </w:tc>
        <w:tc>
          <w:tcPr>
            <w:tcW w:type="dxa" w:w="5700"/>
            <w:vAlign w:val="top"/>
            <w:shd w:fill="F0EEE9"/>
          </w:tcPr>
          <w:p>
            <w:pPr>
              <w:spacing w:after="20" w:before="0" w:line="240" w:lineRule="auto"/>
            </w:pPr>
            <w:r>
              <w:rPr>
                <w:color w:val="1B1C19"/>
                <w:sz w:val="14"/>
              </w:rPr>
              <w:t>Allowed and blocked AI actions are explicit and tied to decision rights.</w:t>
            </w:r>
          </w:p>
        </w:tc>
      </w:tr>
      <w:tr>
        <w:trPr>
          <w:cantSplit/>
        </w:trPr>
        <w:tc>
          <w:tcPr>
            <w:tcW w:type="dxa" w:w="2300"/>
            <w:vAlign w:val="top"/>
          </w:tcPr>
          <w:p>
            <w:pPr>
              <w:spacing w:after="20" w:before="0" w:line="240" w:lineRule="auto"/>
            </w:pPr>
            <w:r>
              <w:rPr>
                <w:color w:val="1B1C19"/>
                <w:sz w:val="14"/>
              </w:rPr>
              <w:t>Data boundary strength</w:t>
            </w:r>
          </w:p>
        </w:tc>
        <w:tc>
          <w:tcPr>
            <w:tcW w:type="dxa" w:w="1000"/>
            <w:vAlign w:val="top"/>
          </w:tcPr>
          <w:p>
            <w:pPr>
              <w:spacing w:after="20" w:before="0" w:line="240" w:lineRule="auto"/>
            </w:pPr>
            <w:r>
              <w:rPr>
                <w:color w:val="1B1C19"/>
                <w:sz w:val="14"/>
              </w:rPr>
              <w:t>0-5</w:t>
            </w:r>
          </w:p>
        </w:tc>
        <w:tc>
          <w:tcPr>
            <w:tcW w:type="dxa" w:w="5700"/>
            <w:vAlign w:val="top"/>
          </w:tcPr>
          <w:p>
            <w:pPr>
              <w:spacing w:after="20" w:before="0" w:line="240" w:lineRule="auto"/>
            </w:pPr>
            <w:r>
              <w:rPr>
                <w:color w:val="1B1C19"/>
                <w:sz w:val="14"/>
              </w:rPr>
              <w:t>Approved sources, blocked sources, source-of-truth rules, sensitivity, lineage, and freshness are defined.</w:t>
            </w:r>
          </w:p>
        </w:tc>
      </w:tr>
      <w:tr>
        <w:trPr>
          <w:cantSplit/>
        </w:trPr>
        <w:tc>
          <w:tcPr>
            <w:tcW w:type="dxa" w:w="2300"/>
            <w:vAlign w:val="top"/>
            <w:shd w:fill="F0EEE9"/>
          </w:tcPr>
          <w:p>
            <w:pPr>
              <w:spacing w:after="20" w:before="0" w:line="240" w:lineRule="auto"/>
            </w:pPr>
            <w:r>
              <w:rPr>
                <w:color w:val="1B1C19"/>
                <w:sz w:val="14"/>
              </w:rPr>
              <w:t>Model and vendor governance</w:t>
            </w:r>
          </w:p>
        </w:tc>
        <w:tc>
          <w:tcPr>
            <w:tcW w:type="dxa" w:w="1000"/>
            <w:vAlign w:val="top"/>
            <w:shd w:fill="F0EEE9"/>
          </w:tcPr>
          <w:p>
            <w:pPr>
              <w:spacing w:after="20" w:before="0" w:line="240" w:lineRule="auto"/>
            </w:pPr>
            <w:r>
              <w:rPr>
                <w:color w:val="1B1C19"/>
                <w:sz w:val="14"/>
              </w:rPr>
              <w:t>0-5</w:t>
            </w:r>
          </w:p>
        </w:tc>
        <w:tc>
          <w:tcPr>
            <w:tcW w:type="dxa" w:w="5700"/>
            <w:vAlign w:val="top"/>
            <w:shd w:fill="F0EEE9"/>
          </w:tcPr>
          <w:p>
            <w:pPr>
              <w:spacing w:after="20" w:before="0" w:line="240" w:lineRule="auto"/>
            </w:pPr>
            <w:r>
              <w:rPr>
                <w:color w:val="1B1C19"/>
                <w:sz w:val="14"/>
              </w:rPr>
              <w:t>Tool, model, version, vendor terms, limitations, failure modes, and lifecycle ownership are documented.</w:t>
            </w:r>
          </w:p>
        </w:tc>
      </w:tr>
      <w:tr>
        <w:trPr>
          <w:cantSplit/>
        </w:trPr>
        <w:tc>
          <w:tcPr>
            <w:tcW w:type="dxa" w:w="2300"/>
            <w:vAlign w:val="top"/>
          </w:tcPr>
          <w:p>
            <w:pPr>
              <w:spacing w:after="20" w:before="0" w:line="240" w:lineRule="auto"/>
            </w:pPr>
            <w:r>
              <w:rPr>
                <w:color w:val="1B1C19"/>
                <w:sz w:val="14"/>
              </w:rPr>
              <w:t>Human review design</w:t>
            </w:r>
          </w:p>
        </w:tc>
        <w:tc>
          <w:tcPr>
            <w:tcW w:type="dxa" w:w="1000"/>
            <w:vAlign w:val="top"/>
          </w:tcPr>
          <w:p>
            <w:pPr>
              <w:spacing w:after="20" w:before="0" w:line="240" w:lineRule="auto"/>
            </w:pPr>
            <w:r>
              <w:rPr>
                <w:color w:val="1B1C19"/>
                <w:sz w:val="14"/>
              </w:rPr>
              <w:t>0-5</w:t>
            </w:r>
          </w:p>
        </w:tc>
        <w:tc>
          <w:tcPr>
            <w:tcW w:type="dxa" w:w="5700"/>
            <w:vAlign w:val="top"/>
          </w:tcPr>
          <w:p>
            <w:pPr>
              <w:spacing w:after="20" w:before="0" w:line="240" w:lineRule="auto"/>
            </w:pPr>
            <w:r>
              <w:rPr>
                <w:color w:val="1B1C19"/>
                <w:sz w:val="14"/>
              </w:rPr>
              <w:t>Review triggers, reviewer role, evidence, approval authority, override path, and exception handling are clear.</w:t>
            </w:r>
          </w:p>
        </w:tc>
      </w:tr>
      <w:tr>
        <w:trPr>
          <w:cantSplit/>
        </w:trPr>
        <w:tc>
          <w:tcPr>
            <w:tcW w:type="dxa" w:w="2300"/>
            <w:vAlign w:val="top"/>
            <w:shd w:fill="F0EEE9"/>
          </w:tcPr>
          <w:p>
            <w:pPr>
              <w:spacing w:after="20" w:before="0" w:line="240" w:lineRule="auto"/>
            </w:pPr>
            <w:r>
              <w:rPr>
                <w:color w:val="1B1C19"/>
                <w:sz w:val="14"/>
              </w:rPr>
              <w:t>Control coverage</w:t>
            </w:r>
          </w:p>
        </w:tc>
        <w:tc>
          <w:tcPr>
            <w:tcW w:type="dxa" w:w="1000"/>
            <w:vAlign w:val="top"/>
            <w:shd w:fill="F0EEE9"/>
          </w:tcPr>
          <w:p>
            <w:pPr>
              <w:spacing w:after="20" w:before="0" w:line="240" w:lineRule="auto"/>
            </w:pPr>
            <w:r>
              <w:rPr>
                <w:color w:val="1B1C19"/>
                <w:sz w:val="14"/>
              </w:rPr>
              <w:t>0-5</w:t>
            </w:r>
          </w:p>
        </w:tc>
        <w:tc>
          <w:tcPr>
            <w:tcW w:type="dxa" w:w="5700"/>
            <w:vAlign w:val="top"/>
            <w:shd w:fill="F0EEE9"/>
          </w:tcPr>
          <w:p>
            <w:pPr>
              <w:spacing w:after="20" w:before="0" w:line="240" w:lineRule="auto"/>
            </w:pPr>
            <w:r>
              <w:rPr>
                <w:color w:val="1B1C19"/>
                <w:sz w:val="14"/>
              </w:rPr>
              <w:t>Preventive, detective, corrective, access, privacy, security, operational, and AI controls are mapped.</w:t>
            </w:r>
          </w:p>
        </w:tc>
      </w:tr>
      <w:tr>
        <w:trPr>
          <w:cantSplit/>
        </w:trPr>
        <w:tc>
          <w:tcPr>
            <w:tcW w:type="dxa" w:w="2300"/>
            <w:vAlign w:val="top"/>
          </w:tcPr>
          <w:p>
            <w:pPr>
              <w:spacing w:after="20" w:before="0" w:line="240" w:lineRule="auto"/>
            </w:pPr>
            <w:r>
              <w:rPr>
                <w:color w:val="1B1C19"/>
                <w:sz w:val="14"/>
              </w:rPr>
              <w:t>Evidence strength</w:t>
            </w:r>
          </w:p>
        </w:tc>
        <w:tc>
          <w:tcPr>
            <w:tcW w:type="dxa" w:w="1000"/>
            <w:vAlign w:val="top"/>
          </w:tcPr>
          <w:p>
            <w:pPr>
              <w:spacing w:after="20" w:before="0" w:line="240" w:lineRule="auto"/>
            </w:pPr>
            <w:r>
              <w:rPr>
                <w:color w:val="1B1C19"/>
                <w:sz w:val="14"/>
              </w:rPr>
              <w:t>0-5</w:t>
            </w:r>
          </w:p>
        </w:tc>
        <w:tc>
          <w:tcPr>
            <w:tcW w:type="dxa" w:w="5700"/>
            <w:vAlign w:val="top"/>
          </w:tcPr>
          <w:p>
            <w:pPr>
              <w:spacing w:after="20" w:before="0" w:line="240" w:lineRule="auto"/>
            </w:pPr>
            <w:r>
              <w:rPr>
                <w:color w:val="1B1C19"/>
                <w:sz w:val="14"/>
              </w:rPr>
              <w:t>Evidence is current, sourced, owned, confidence-rated, testable, and sufficient for the impact tier.</w:t>
            </w:r>
          </w:p>
        </w:tc>
      </w:tr>
      <w:tr>
        <w:trPr>
          <w:cantSplit/>
        </w:trPr>
        <w:tc>
          <w:tcPr>
            <w:tcW w:type="dxa" w:w="2300"/>
            <w:vAlign w:val="top"/>
            <w:shd w:fill="F0EEE9"/>
          </w:tcPr>
          <w:p>
            <w:pPr>
              <w:spacing w:after="20" w:before="0" w:line="240" w:lineRule="auto"/>
            </w:pPr>
            <w:r>
              <w:rPr>
                <w:color w:val="1B1C19"/>
                <w:sz w:val="14"/>
              </w:rPr>
              <w:t>Risk classification</w:t>
            </w:r>
          </w:p>
        </w:tc>
        <w:tc>
          <w:tcPr>
            <w:tcW w:type="dxa" w:w="1000"/>
            <w:vAlign w:val="top"/>
            <w:shd w:fill="F0EEE9"/>
          </w:tcPr>
          <w:p>
            <w:pPr>
              <w:spacing w:after="20" w:before="0" w:line="240" w:lineRule="auto"/>
            </w:pPr>
            <w:r>
              <w:rPr>
                <w:color w:val="1B1C19"/>
                <w:sz w:val="14"/>
              </w:rPr>
              <w:t>0-5</w:t>
            </w:r>
          </w:p>
        </w:tc>
        <w:tc>
          <w:tcPr>
            <w:tcW w:type="dxa" w:w="5700"/>
            <w:vAlign w:val="top"/>
            <w:shd w:fill="F0EEE9"/>
          </w:tcPr>
          <w:p>
            <w:pPr>
              <w:spacing w:after="20" w:before="0" w:line="240" w:lineRule="auto"/>
            </w:pPr>
            <w:r>
              <w:rPr>
                <w:color w:val="1B1C19"/>
                <w:sz w:val="14"/>
              </w:rPr>
              <w:t>Impact tier, residual risk, compliance obligations, risk acceptance, and escalation are clear.</w:t>
            </w:r>
          </w:p>
        </w:tc>
      </w:tr>
      <w:tr>
        <w:trPr>
          <w:cantSplit/>
        </w:trPr>
        <w:tc>
          <w:tcPr>
            <w:tcW w:type="dxa" w:w="2300"/>
            <w:vAlign w:val="top"/>
          </w:tcPr>
          <w:p>
            <w:pPr>
              <w:spacing w:after="20" w:before="0" w:line="240" w:lineRule="auto"/>
            </w:pPr>
            <w:r>
              <w:rPr>
                <w:color w:val="1B1C19"/>
                <w:sz w:val="14"/>
              </w:rPr>
              <w:t>Monitoring readiness</w:t>
            </w:r>
          </w:p>
        </w:tc>
        <w:tc>
          <w:tcPr>
            <w:tcW w:type="dxa" w:w="1000"/>
            <w:vAlign w:val="top"/>
          </w:tcPr>
          <w:p>
            <w:pPr>
              <w:spacing w:after="20" w:before="0" w:line="240" w:lineRule="auto"/>
            </w:pPr>
            <w:r>
              <w:rPr>
                <w:color w:val="1B1C19"/>
                <w:sz w:val="14"/>
              </w:rPr>
              <w:t>0-5</w:t>
            </w:r>
          </w:p>
        </w:tc>
        <w:tc>
          <w:tcPr>
            <w:tcW w:type="dxa" w:w="5700"/>
            <w:vAlign w:val="top"/>
          </w:tcPr>
          <w:p>
            <w:pPr>
              <w:spacing w:after="20" w:before="0" w:line="240" w:lineRule="auto"/>
            </w:pPr>
            <w:r>
              <w:rPr>
                <w:color w:val="1B1C19"/>
                <w:sz w:val="14"/>
              </w:rPr>
              <w:t>Performance, drift, incidents, usage, value, user feedback, and control failures are monitored.</w:t>
            </w:r>
          </w:p>
        </w:tc>
      </w:tr>
      <w:tr>
        <w:trPr>
          <w:cantSplit/>
        </w:trPr>
        <w:tc>
          <w:tcPr>
            <w:tcW w:type="dxa" w:w="2300"/>
            <w:vAlign w:val="top"/>
            <w:shd w:fill="F0EEE9"/>
          </w:tcPr>
          <w:p>
            <w:pPr>
              <w:spacing w:after="20" w:before="0" w:line="240" w:lineRule="auto"/>
            </w:pPr>
            <w:r>
              <w:rPr>
                <w:color w:val="1B1C19"/>
                <w:sz w:val="14"/>
              </w:rPr>
              <w:t>Lifecycle discipline</w:t>
            </w:r>
          </w:p>
        </w:tc>
        <w:tc>
          <w:tcPr>
            <w:tcW w:type="dxa" w:w="1000"/>
            <w:vAlign w:val="top"/>
            <w:shd w:fill="F0EEE9"/>
          </w:tcPr>
          <w:p>
            <w:pPr>
              <w:spacing w:after="20" w:before="0" w:line="240" w:lineRule="auto"/>
            </w:pPr>
            <w:r>
              <w:rPr>
                <w:color w:val="1B1C19"/>
                <w:sz w:val="14"/>
              </w:rPr>
              <w:t>0-5</w:t>
            </w:r>
          </w:p>
        </w:tc>
        <w:tc>
          <w:tcPr>
            <w:tcW w:type="dxa" w:w="5700"/>
            <w:vAlign w:val="top"/>
            <w:shd w:fill="F0EEE9"/>
          </w:tcPr>
          <w:p>
            <w:pPr>
              <w:spacing w:after="20" w:before="0" w:line="240" w:lineRule="auto"/>
            </w:pPr>
            <w:r>
              <w:rPr>
                <w:color w:val="1B1C19"/>
                <w:sz w:val="14"/>
              </w:rPr>
              <w:t>Launch, scale, review, restriction, pause, retirement, and supersession rules are documented.</w:t>
            </w:r>
          </w:p>
        </w:tc>
      </w:tr>
    </w:tbl>
    <w:p/>
    <w:p>
      <w:pPr>
        <w:spacing w:after="100"/>
      </w:pPr>
      <w:r>
        <w:rPr>
          <w:rFonts w:ascii="Aptos" w:hAnsi="Aptos"/>
          <w:color w:val="1B1C19"/>
          <w:sz w:val="17"/>
        </w:rPr>
        <w:t>Suggested readiness score: average the ten scores, then classify 0-1.9 as Ungoverned or hidden AI activity, 2.0-3.4 as Documented but weak AI governance, 3.5-4.4 as Governed AI operating model, and 4.5-5.0 as AI-ready governance architecture.</w:t>
      </w:r>
    </w:p>
    <w:p>
      <w:pPr>
        <w:pStyle w:val="Heading1"/>
      </w:pPr>
      <w:r>
        <w:rPr>
          <w:rFonts w:ascii="Aptos Display" w:hAnsi="Aptos Display"/>
          <w:color w:val="2D3924"/>
        </w:rPr>
        <w:t>AI prompts</w:t>
      </w:r>
    </w:p>
    <w:p>
      <w:pPr>
        <w:pStyle w:val="ListBullet"/>
      </w:pPr>
      <w:r>
        <w:rPr>
          <w:rFonts w:ascii="Aptos" w:hAnsi="Aptos"/>
          <w:color w:val="1B1C19"/>
          <w:sz w:val="16"/>
        </w:rPr>
        <w:t>Classify this AI use case by impact tier, affected LPM layers, likely owners, required evidence, governance route, and allowed versus blocked AI actions.</w:t>
      </w:r>
    </w:p>
    <w:p>
      <w:pPr>
        <w:pStyle w:val="ListBullet"/>
      </w:pPr>
      <w:r>
        <w:rPr>
          <w:rFonts w:ascii="Aptos" w:hAnsi="Aptos"/>
          <w:color w:val="1B1C19"/>
          <w:sz w:val="16"/>
        </w:rPr>
        <w:t>Review this AI governance checklist and identify missing ownership, weak evidence, unclear data boundary, missing controls, unresolved risk, and undefined human review.</w:t>
      </w:r>
    </w:p>
    <w:p>
      <w:pPr>
        <w:pStyle w:val="ListBullet"/>
      </w:pPr>
      <w:r>
        <w:rPr>
          <w:rFonts w:ascii="Aptos" w:hAnsi="Aptos"/>
          <w:color w:val="1B1C19"/>
          <w:sz w:val="16"/>
        </w:rPr>
        <w:t>Given the AI use case description, generate the minimum governance evidence package required before pilot, production launch, or enterprise scale.</w:t>
      </w:r>
    </w:p>
    <w:p>
      <w:pPr>
        <w:pStyle w:val="ListBullet"/>
      </w:pPr>
      <w:r>
        <w:rPr>
          <w:rFonts w:ascii="Aptos" w:hAnsi="Aptos"/>
          <w:color w:val="1B1C19"/>
          <w:sz w:val="16"/>
        </w:rPr>
        <w:t>Score this AI use case from 0 to 5 across business ownership, decision boundary clarity, data boundary strength, model and vendor governance, human review design, control coverage, evidence strength, risk classification, monitoring readiness, and lifecycle discipline.</w:t>
      </w:r>
    </w:p>
    <w:p>
      <w:pPr>
        <w:pStyle w:val="ListBullet"/>
      </w:pPr>
      <w:r>
        <w:rPr>
          <w:rFonts w:ascii="Aptos" w:hAnsi="Aptos"/>
          <w:color w:val="1B1C19"/>
          <w:sz w:val="16"/>
        </w:rPr>
        <w:t>Determine whether this AI use case should proceed locally, require domain review, require enterprise governance, require executive approval, require risk acceptance, or be blocked.</w:t>
      </w:r>
    </w:p>
    <w:p>
      <w:pPr>
        <w:pStyle w:val="ListBullet"/>
      </w:pPr>
      <w:r>
        <w:rPr>
          <w:rFonts w:ascii="Aptos" w:hAnsi="Aptos"/>
          <w:color w:val="1B1C19"/>
          <w:sz w:val="16"/>
        </w:rPr>
        <w:t>Convert this AI governance checklist into Lapemo objects for owner, use case, decision, data source, control, evidence, platform, integration, risk, monitoring signal, and AI boundary.</w:t>
      </w:r>
    </w:p>
    <w:p>
      <w:pPr>
        <w:pStyle w:val="Heading1"/>
      </w:pPr>
      <w:r>
        <w:rPr>
          <w:rFonts w:ascii="Aptos Display" w:hAnsi="Aptos Display"/>
          <w:color w:val="2D3924"/>
        </w:rPr>
        <w:t>Validation rules</w:t>
      </w:r>
    </w:p>
    <w:p>
      <w:pPr>
        <w:pStyle w:val="ListBullet"/>
      </w:pPr>
      <w:r>
        <w:rPr>
          <w:rFonts w:ascii="Aptos" w:hAnsi="Aptos"/>
          <w:color w:val="1B1C19"/>
          <w:sz w:val="16"/>
        </w:rPr>
        <w:t>Every AI use case must have one accountable business owner before pilot or launch.</w:t>
      </w:r>
    </w:p>
    <w:p>
      <w:pPr>
        <w:pStyle w:val="ListBullet"/>
      </w:pPr>
      <w:r>
        <w:rPr>
          <w:rFonts w:ascii="Aptos" w:hAnsi="Aptos"/>
          <w:color w:val="1B1C19"/>
          <w:sz w:val="16"/>
        </w:rPr>
        <w:t>Every AI use case must classify AI role and strongest allowed action.</w:t>
      </w:r>
    </w:p>
    <w:p>
      <w:pPr>
        <w:pStyle w:val="ListBullet"/>
      </w:pPr>
      <w:r>
        <w:rPr>
          <w:rFonts w:ascii="Aptos" w:hAnsi="Aptos"/>
          <w:color w:val="1B1C19"/>
          <w:sz w:val="16"/>
        </w:rPr>
        <w:t>Every AI use case must define allowed AI actions and blocked AI actions.</w:t>
      </w:r>
    </w:p>
    <w:p>
      <w:pPr>
        <w:pStyle w:val="ListBullet"/>
      </w:pPr>
      <w:r>
        <w:rPr>
          <w:rFonts w:ascii="Aptos" w:hAnsi="Aptos"/>
          <w:color w:val="1B1C19"/>
          <w:sz w:val="16"/>
        </w:rPr>
        <w:t>Every AI use case must define approved data sources and blocked data sources.</w:t>
      </w:r>
    </w:p>
    <w:p>
      <w:pPr>
        <w:pStyle w:val="ListBullet"/>
      </w:pPr>
      <w:r>
        <w:rPr>
          <w:rFonts w:ascii="Aptos" w:hAnsi="Aptos"/>
          <w:color w:val="1B1C19"/>
          <w:sz w:val="16"/>
        </w:rPr>
        <w:t>Every moderate, high, critical, regulated, customer-facing, employee-impacting, financial, security, privacy, or control-impacting use case must have documented human review.</w:t>
      </w:r>
    </w:p>
    <w:p>
      <w:pPr>
        <w:pStyle w:val="ListBullet"/>
      </w:pPr>
      <w:r>
        <w:rPr>
          <w:rFonts w:ascii="Aptos" w:hAnsi="Aptos"/>
          <w:color w:val="1B1C19"/>
          <w:sz w:val="16"/>
        </w:rPr>
        <w:t>Every AI use case must have evidence requirements appropriate to its impact tier.</w:t>
      </w:r>
    </w:p>
    <w:p>
      <w:pPr>
        <w:pStyle w:val="ListBullet"/>
      </w:pPr>
      <w:r>
        <w:rPr>
          <w:rFonts w:ascii="Aptos" w:hAnsi="Aptos"/>
          <w:color w:val="1B1C19"/>
          <w:sz w:val="16"/>
        </w:rPr>
        <w:t>Every AI use case must identify control owner, monitoring signals, escalation path, and stop or rollback path where material risk exists.</w:t>
      </w:r>
    </w:p>
    <w:p>
      <w:pPr>
        <w:pStyle w:val="ListBullet"/>
      </w:pPr>
      <w:r>
        <w:rPr>
          <w:rFonts w:ascii="Aptos" w:hAnsi="Aptos"/>
          <w:color w:val="1B1C19"/>
          <w:sz w:val="16"/>
        </w:rPr>
        <w:t>Any residual risk must be linked to a risk acceptance register entry or explicitly marked as no acceptance required.</w:t>
      </w:r>
    </w:p>
    <w:p>
      <w:pPr>
        <w:pStyle w:val="ListBullet"/>
      </w:pPr>
      <w:r>
        <w:rPr>
          <w:rFonts w:ascii="Aptos" w:hAnsi="Aptos"/>
          <w:color w:val="1B1C19"/>
          <w:sz w:val="16"/>
        </w:rPr>
        <w:t>AI cannot approve, commit, externalize, update systems of record, bypass controls, or make regulated decisions unless those actions are explicitly approved by governance.</w:t>
      </w:r>
    </w:p>
    <w:p>
      <w:pPr>
        <w:pStyle w:val="ListBullet"/>
      </w:pPr>
      <w:r>
        <w:rPr>
          <w:rFonts w:ascii="Aptos" w:hAnsi="Aptos"/>
          <w:color w:val="1B1C19"/>
          <w:sz w:val="16"/>
        </w:rPr>
        <w:t>Production AI use must have review cadence, trigger conditions, lifecycle status, and retirement or supersession rule.</w:t>
      </w:r>
    </w:p>
    <w:p>
      <w:pPr>
        <w:pStyle w:val="ListBullet"/>
      </w:pPr>
      <w:r>
        <w:rPr>
          <w:rFonts w:ascii="Aptos" w:hAnsi="Aptos"/>
          <w:color w:val="1B1C19"/>
          <w:sz w:val="16"/>
        </w:rPr>
        <w:t>Status must never be encoded only by color. Use labels such as idea, discovery, pilot, production, scaled, restricted, paused, retired, or superseded.</w:t>
      </w:r>
    </w:p>
    <w:p>
      <w:pPr>
        <w:pStyle w:val="Heading1"/>
      </w:pPr>
      <w:r>
        <w:rPr>
          <w:rFonts w:ascii="Aptos Display" w:hAnsi="Aptos Display"/>
          <w:color w:val="2D3924"/>
        </w:rPr>
        <w:t>Lapemo ingestion mapping</w:t>
      </w:r>
    </w:p>
    <w:tbl>
      <w:tblPr>
        <w:tblStyle w:val="TableGrid"/>
        <w:tblW w:type="auto" w:w="0"/>
        <w:jc w:val="center"/>
        <w:tblLook w:firstColumn="1" w:firstRow="1" w:lastColumn="0" w:lastRow="0" w:noHBand="0" w:noVBand="1" w:val="04A0"/>
      </w:tblPr>
      <w:tblGrid>
        <w:gridCol w:w="3552"/>
        <w:gridCol w:w="3552"/>
        <w:gridCol w:w="3552"/>
      </w:tblGrid>
      <w:tr>
        <w:trPr>
          <w:cantSplit/>
        </w:trPr>
        <w:tc>
          <w:tcPr>
            <w:tcW w:type="dxa" w:w="2200"/>
            <w:vAlign w:val="top"/>
            <w:shd w:fill="2D3924"/>
          </w:tcPr>
          <w:p>
            <w:pPr>
              <w:spacing w:after="20" w:before="0" w:line="240" w:lineRule="auto"/>
            </w:pPr>
            <w:r>
              <w:rPr>
                <w:b/>
                <w:color w:val="FFFFFF"/>
                <w:sz w:val="15"/>
              </w:rPr>
              <w:t>Lapemo object</w:t>
            </w:r>
          </w:p>
        </w:tc>
        <w:tc>
          <w:tcPr>
            <w:tcW w:type="dxa" w:w="3900"/>
            <w:vAlign w:val="top"/>
            <w:shd w:fill="2D3924"/>
          </w:tcPr>
          <w:p>
            <w:pPr>
              <w:spacing w:after="20" w:before="0" w:line="240" w:lineRule="auto"/>
            </w:pPr>
            <w:r>
              <w:rPr>
                <w:b/>
                <w:color w:val="FFFFFF"/>
                <w:sz w:val="15"/>
              </w:rPr>
              <w:t>Fields / entities</w:t>
            </w:r>
          </w:p>
        </w:tc>
        <w:tc>
          <w:tcPr>
            <w:tcW w:type="dxa" w:w="3300"/>
            <w:vAlign w:val="top"/>
            <w:shd w:fill="2D3924"/>
          </w:tcPr>
          <w:p>
            <w:pPr>
              <w:spacing w:after="20" w:before="0" w:line="240" w:lineRule="auto"/>
            </w:pPr>
            <w:r>
              <w:rPr>
                <w:b/>
                <w:color w:val="FFFFFF"/>
                <w:sz w:val="15"/>
              </w:rPr>
              <w:t>Use</w:t>
            </w:r>
          </w:p>
        </w:tc>
      </w:tr>
      <w:tr>
        <w:trPr>
          <w:cantSplit/>
        </w:trPr>
        <w:tc>
          <w:tcPr>
            <w:tcW w:type="dxa" w:w="2200"/>
            <w:vAlign w:val="top"/>
          </w:tcPr>
          <w:p>
            <w:pPr>
              <w:spacing w:after="20" w:before="0" w:line="240" w:lineRule="auto"/>
            </w:pPr>
            <w:r>
              <w:rPr>
                <w:color w:val="1B1C19"/>
                <w:sz w:val="14"/>
              </w:rPr>
              <w:t>Knowledge object</w:t>
            </w:r>
          </w:p>
        </w:tc>
        <w:tc>
          <w:tcPr>
            <w:tcW w:type="dxa" w:w="3900"/>
            <w:vAlign w:val="top"/>
          </w:tcPr>
          <w:p>
            <w:pPr>
              <w:spacing w:after="20" w:before="0" w:line="240" w:lineRule="auto"/>
            </w:pPr>
            <w:r>
              <w:rPr>
                <w:color w:val="1B1C19"/>
                <w:sz w:val="14"/>
              </w:rPr>
              <w:t>AI Governance Checklist</w:t>
            </w:r>
          </w:p>
        </w:tc>
        <w:tc>
          <w:tcPr>
            <w:tcW w:type="dxa" w:w="3300"/>
            <w:vAlign w:val="top"/>
          </w:tcPr>
          <w:p>
            <w:pPr>
              <w:spacing w:after="20" w:before="0" w:line="240" w:lineRule="auto"/>
            </w:pPr>
            <w:r>
              <w:rPr>
                <w:color w:val="1B1C19"/>
                <w:sz w:val="14"/>
              </w:rPr>
              <w:t>Canonical reusable artifact for governance-layer AI review and operating control.</w:t>
            </w:r>
          </w:p>
        </w:tc>
      </w:tr>
      <w:tr>
        <w:trPr>
          <w:cantSplit/>
        </w:trPr>
        <w:tc>
          <w:tcPr>
            <w:tcW w:type="dxa" w:w="2200"/>
            <w:vAlign w:val="top"/>
            <w:shd w:fill="F0EEE9"/>
          </w:tcPr>
          <w:p>
            <w:pPr>
              <w:spacing w:after="20" w:before="0" w:line="240" w:lineRule="auto"/>
            </w:pPr>
            <w:r>
              <w:rPr>
                <w:color w:val="1B1C19"/>
                <w:sz w:val="14"/>
              </w:rPr>
              <w:t>AI use case object</w:t>
            </w:r>
          </w:p>
        </w:tc>
        <w:tc>
          <w:tcPr>
            <w:tcW w:type="dxa" w:w="3900"/>
            <w:vAlign w:val="top"/>
            <w:shd w:fill="F0EEE9"/>
          </w:tcPr>
          <w:p>
            <w:pPr>
              <w:spacing w:after="20" w:before="0" w:line="240" w:lineRule="auto"/>
            </w:pPr>
            <w:r>
              <w:rPr>
                <w:color w:val="1B1C19"/>
                <w:sz w:val="14"/>
              </w:rPr>
              <w:t>Use case ID, name, purpose, AI type, impact tier, lifecycle status</w:t>
            </w:r>
          </w:p>
        </w:tc>
        <w:tc>
          <w:tcPr>
            <w:tcW w:type="dxa" w:w="3300"/>
            <w:vAlign w:val="top"/>
            <w:shd w:fill="F0EEE9"/>
          </w:tcPr>
          <w:p>
            <w:pPr>
              <w:spacing w:after="20" w:before="0" w:line="240" w:lineRule="auto"/>
            </w:pPr>
            <w:r>
              <w:rPr>
                <w:color w:val="1B1C19"/>
                <w:sz w:val="14"/>
              </w:rPr>
              <w:t>Creates structured AI initiative records.</w:t>
            </w:r>
          </w:p>
        </w:tc>
      </w:tr>
      <w:tr>
        <w:trPr>
          <w:cantSplit/>
        </w:trPr>
        <w:tc>
          <w:tcPr>
            <w:tcW w:type="dxa" w:w="2200"/>
            <w:vAlign w:val="top"/>
          </w:tcPr>
          <w:p>
            <w:pPr>
              <w:spacing w:after="20" w:before="0" w:line="240" w:lineRule="auto"/>
            </w:pPr>
            <w:r>
              <w:rPr>
                <w:color w:val="1B1C19"/>
                <w:sz w:val="14"/>
              </w:rPr>
              <w:t>Ownership object</w:t>
            </w:r>
          </w:p>
        </w:tc>
        <w:tc>
          <w:tcPr>
            <w:tcW w:type="dxa" w:w="3900"/>
            <w:vAlign w:val="top"/>
          </w:tcPr>
          <w:p>
            <w:pPr>
              <w:spacing w:after="20" w:before="0" w:line="240" w:lineRule="auto"/>
            </w:pPr>
            <w:r>
              <w:rPr>
                <w:color w:val="1B1C19"/>
                <w:sz w:val="14"/>
              </w:rPr>
              <w:t>Business owner, technical owner, data owner, control owner, decision owner, escalation owner</w:t>
            </w:r>
          </w:p>
        </w:tc>
        <w:tc>
          <w:tcPr>
            <w:tcW w:type="dxa" w:w="3300"/>
            <w:vAlign w:val="top"/>
          </w:tcPr>
          <w:p>
            <w:pPr>
              <w:spacing w:after="20" w:before="0" w:line="240" w:lineRule="auto"/>
            </w:pPr>
            <w:r>
              <w:rPr>
                <w:color w:val="1B1C19"/>
                <w:sz w:val="14"/>
              </w:rPr>
              <w:t>Connects AI to accountable owners.</w:t>
            </w:r>
          </w:p>
        </w:tc>
      </w:tr>
      <w:tr>
        <w:trPr>
          <w:cantSplit/>
        </w:trPr>
        <w:tc>
          <w:tcPr>
            <w:tcW w:type="dxa" w:w="2200"/>
            <w:vAlign w:val="top"/>
            <w:shd w:fill="F0EEE9"/>
          </w:tcPr>
          <w:p>
            <w:pPr>
              <w:spacing w:after="20" w:before="0" w:line="240" w:lineRule="auto"/>
            </w:pPr>
            <w:r>
              <w:rPr>
                <w:color w:val="1B1C19"/>
                <w:sz w:val="14"/>
              </w:rPr>
              <w:t>Decision object</w:t>
            </w:r>
          </w:p>
        </w:tc>
        <w:tc>
          <w:tcPr>
            <w:tcW w:type="dxa" w:w="3900"/>
            <w:vAlign w:val="top"/>
            <w:shd w:fill="F0EEE9"/>
          </w:tcPr>
          <w:p>
            <w:pPr>
              <w:spacing w:after="20" w:before="0" w:line="240" w:lineRule="auto"/>
            </w:pPr>
            <w:r>
              <w:rPr>
                <w:color w:val="1B1C19"/>
                <w:sz w:val="14"/>
              </w:rPr>
              <w:t>Decision rights, allowed actions, blocked actions, approval authority, launch decision, scale decision</w:t>
            </w:r>
          </w:p>
        </w:tc>
        <w:tc>
          <w:tcPr>
            <w:tcW w:type="dxa" w:w="3300"/>
            <w:vAlign w:val="top"/>
            <w:shd w:fill="F0EEE9"/>
          </w:tcPr>
          <w:p>
            <w:pPr>
              <w:spacing w:after="20" w:before="0" w:line="240" w:lineRule="auto"/>
            </w:pPr>
            <w:r>
              <w:rPr>
                <w:color w:val="1B1C19"/>
                <w:sz w:val="14"/>
              </w:rPr>
              <w:t>Connects AI use to decision architecture.</w:t>
            </w:r>
          </w:p>
        </w:tc>
      </w:tr>
      <w:tr>
        <w:trPr>
          <w:cantSplit/>
        </w:trPr>
        <w:tc>
          <w:tcPr>
            <w:tcW w:type="dxa" w:w="2200"/>
            <w:vAlign w:val="top"/>
          </w:tcPr>
          <w:p>
            <w:pPr>
              <w:spacing w:after="20" w:before="0" w:line="240" w:lineRule="auto"/>
            </w:pPr>
            <w:r>
              <w:rPr>
                <w:color w:val="1B1C19"/>
                <w:sz w:val="14"/>
              </w:rPr>
              <w:t>Data object</w:t>
            </w:r>
          </w:p>
        </w:tc>
        <w:tc>
          <w:tcPr>
            <w:tcW w:type="dxa" w:w="3900"/>
            <w:vAlign w:val="top"/>
          </w:tcPr>
          <w:p>
            <w:pPr>
              <w:spacing w:after="20" w:before="0" w:line="240" w:lineRule="auto"/>
            </w:pPr>
            <w:r>
              <w:rPr>
                <w:color w:val="1B1C19"/>
                <w:sz w:val="14"/>
              </w:rPr>
              <w:t>Approved sources, blocked sources, sensitivity, lineage, freshness, source-of-truth rule</w:t>
            </w:r>
          </w:p>
        </w:tc>
        <w:tc>
          <w:tcPr>
            <w:tcW w:type="dxa" w:w="3300"/>
            <w:vAlign w:val="top"/>
          </w:tcPr>
          <w:p>
            <w:pPr>
              <w:spacing w:after="20" w:before="0" w:line="240" w:lineRule="auto"/>
            </w:pPr>
            <w:r>
              <w:rPr>
                <w:color w:val="1B1C19"/>
                <w:sz w:val="14"/>
              </w:rPr>
              <w:t>Controls what AI can retrieve or use.</w:t>
            </w:r>
          </w:p>
        </w:tc>
      </w:tr>
      <w:tr>
        <w:trPr>
          <w:cantSplit/>
        </w:trPr>
        <w:tc>
          <w:tcPr>
            <w:tcW w:type="dxa" w:w="2200"/>
            <w:vAlign w:val="top"/>
            <w:shd w:fill="F0EEE9"/>
          </w:tcPr>
          <w:p>
            <w:pPr>
              <w:spacing w:after="20" w:before="0" w:line="240" w:lineRule="auto"/>
            </w:pPr>
            <w:r>
              <w:rPr>
                <w:color w:val="1B1C19"/>
                <w:sz w:val="14"/>
              </w:rPr>
              <w:t>Control object</w:t>
            </w:r>
          </w:p>
        </w:tc>
        <w:tc>
          <w:tcPr>
            <w:tcW w:type="dxa" w:w="3900"/>
            <w:vAlign w:val="top"/>
            <w:shd w:fill="F0EEE9"/>
          </w:tcPr>
          <w:p>
            <w:pPr>
              <w:spacing w:after="20" w:before="0" w:line="240" w:lineRule="auto"/>
            </w:pPr>
            <w:r>
              <w:rPr>
                <w:color w:val="1B1C19"/>
                <w:sz w:val="14"/>
              </w:rPr>
              <w:t>Preventive controls, detective controls, corrective controls, monitoring, failure handling, kill switch</w:t>
            </w:r>
          </w:p>
        </w:tc>
        <w:tc>
          <w:tcPr>
            <w:tcW w:type="dxa" w:w="3300"/>
            <w:vAlign w:val="top"/>
            <w:shd w:fill="F0EEE9"/>
          </w:tcPr>
          <w:p>
            <w:pPr>
              <w:spacing w:after="20" w:before="0" w:line="240" w:lineRule="auto"/>
            </w:pPr>
            <w:r>
              <w:rPr>
                <w:color w:val="1B1C19"/>
                <w:sz w:val="14"/>
              </w:rPr>
              <w:t>Connects AI activity to governance controls.</w:t>
            </w:r>
          </w:p>
        </w:tc>
      </w:tr>
      <w:tr>
        <w:trPr>
          <w:cantSplit/>
        </w:trPr>
        <w:tc>
          <w:tcPr>
            <w:tcW w:type="dxa" w:w="2200"/>
            <w:vAlign w:val="top"/>
          </w:tcPr>
          <w:p>
            <w:pPr>
              <w:spacing w:after="20" w:before="0" w:line="240" w:lineRule="auto"/>
            </w:pPr>
            <w:r>
              <w:rPr>
                <w:color w:val="1B1C19"/>
                <w:sz w:val="14"/>
              </w:rPr>
              <w:t>Evidence object</w:t>
            </w:r>
          </w:p>
        </w:tc>
        <w:tc>
          <w:tcPr>
            <w:tcW w:type="dxa" w:w="3900"/>
            <w:vAlign w:val="top"/>
          </w:tcPr>
          <w:p>
            <w:pPr>
              <w:spacing w:after="20" w:before="0" w:line="240" w:lineRule="auto"/>
            </w:pPr>
            <w:r>
              <w:rPr>
                <w:color w:val="1B1C19"/>
                <w:sz w:val="14"/>
              </w:rPr>
              <w:t>Evidence package, tests, logs, source, owner, freshness, confidence, approval record</w:t>
            </w:r>
          </w:p>
        </w:tc>
        <w:tc>
          <w:tcPr>
            <w:tcW w:type="dxa" w:w="3300"/>
            <w:vAlign w:val="top"/>
          </w:tcPr>
          <w:p>
            <w:pPr>
              <w:spacing w:after="20" w:before="0" w:line="240" w:lineRule="auto"/>
            </w:pPr>
            <w:r>
              <w:rPr>
                <w:color w:val="1B1C19"/>
                <w:sz w:val="14"/>
              </w:rPr>
              <w:t>Creates audit-ready proof.</w:t>
            </w:r>
          </w:p>
        </w:tc>
      </w:tr>
      <w:tr>
        <w:trPr>
          <w:cantSplit/>
        </w:trPr>
        <w:tc>
          <w:tcPr>
            <w:tcW w:type="dxa" w:w="2200"/>
            <w:vAlign w:val="top"/>
            <w:shd w:fill="F0EEE9"/>
          </w:tcPr>
          <w:p>
            <w:pPr>
              <w:spacing w:after="20" w:before="0" w:line="240" w:lineRule="auto"/>
            </w:pPr>
            <w:r>
              <w:rPr>
                <w:color w:val="1B1C19"/>
                <w:sz w:val="14"/>
              </w:rPr>
              <w:t>Platform object</w:t>
            </w:r>
          </w:p>
        </w:tc>
        <w:tc>
          <w:tcPr>
            <w:tcW w:type="dxa" w:w="3900"/>
            <w:vAlign w:val="top"/>
            <w:shd w:fill="F0EEE9"/>
          </w:tcPr>
          <w:p>
            <w:pPr>
              <w:spacing w:after="20" w:before="0" w:line="240" w:lineRule="auto"/>
            </w:pPr>
            <w:r>
              <w:rPr>
                <w:color w:val="1B1C19"/>
                <w:sz w:val="14"/>
              </w:rPr>
              <w:t>AI tool, model, vendor, platform, integration, system of record, workflow</w:t>
            </w:r>
          </w:p>
        </w:tc>
        <w:tc>
          <w:tcPr>
            <w:tcW w:type="dxa" w:w="3300"/>
            <w:vAlign w:val="top"/>
            <w:shd w:fill="F0EEE9"/>
          </w:tcPr>
          <w:p>
            <w:pPr>
              <w:spacing w:after="20" w:before="0" w:line="240" w:lineRule="auto"/>
            </w:pPr>
            <w:r>
              <w:rPr>
                <w:color w:val="1B1C19"/>
                <w:sz w:val="14"/>
              </w:rPr>
              <w:t>Connects AI governance to platform structure.</w:t>
            </w:r>
          </w:p>
        </w:tc>
      </w:tr>
      <w:tr>
        <w:trPr>
          <w:cantSplit/>
        </w:trPr>
        <w:tc>
          <w:tcPr>
            <w:tcW w:type="dxa" w:w="2200"/>
            <w:vAlign w:val="top"/>
          </w:tcPr>
          <w:p>
            <w:pPr>
              <w:spacing w:after="20" w:before="0" w:line="240" w:lineRule="auto"/>
            </w:pPr>
            <w:r>
              <w:rPr>
                <w:color w:val="1B1C19"/>
                <w:sz w:val="14"/>
              </w:rPr>
              <w:t>Risk object</w:t>
            </w:r>
          </w:p>
        </w:tc>
        <w:tc>
          <w:tcPr>
            <w:tcW w:type="dxa" w:w="3900"/>
            <w:vAlign w:val="top"/>
          </w:tcPr>
          <w:p>
            <w:pPr>
              <w:spacing w:after="20" w:before="0" w:line="240" w:lineRule="auto"/>
            </w:pPr>
            <w:r>
              <w:rPr>
                <w:color w:val="1B1C19"/>
                <w:sz w:val="14"/>
              </w:rPr>
              <w:t>Impact tier, residual risk, risk acceptance link, compliance impact, privacy impact, security impact</w:t>
            </w:r>
          </w:p>
        </w:tc>
        <w:tc>
          <w:tcPr>
            <w:tcW w:type="dxa" w:w="3300"/>
            <w:vAlign w:val="top"/>
          </w:tcPr>
          <w:p>
            <w:pPr>
              <w:spacing w:after="20" w:before="0" w:line="240" w:lineRule="auto"/>
            </w:pPr>
            <w:r>
              <w:rPr>
                <w:color w:val="1B1C19"/>
                <w:sz w:val="14"/>
              </w:rPr>
              <w:t>Routes risk to the correct governance path.</w:t>
            </w:r>
          </w:p>
        </w:tc>
      </w:tr>
      <w:tr>
        <w:trPr>
          <w:cantSplit/>
        </w:trPr>
        <w:tc>
          <w:tcPr>
            <w:tcW w:type="dxa" w:w="2200"/>
            <w:vAlign w:val="top"/>
            <w:shd w:fill="F0EEE9"/>
          </w:tcPr>
          <w:p>
            <w:pPr>
              <w:spacing w:after="20" w:before="0" w:line="240" w:lineRule="auto"/>
            </w:pPr>
            <w:r>
              <w:rPr>
                <w:color w:val="1B1C19"/>
                <w:sz w:val="14"/>
              </w:rPr>
              <w:t>Monitoring object</w:t>
            </w:r>
          </w:p>
        </w:tc>
        <w:tc>
          <w:tcPr>
            <w:tcW w:type="dxa" w:w="3900"/>
            <w:vAlign w:val="top"/>
            <w:shd w:fill="F0EEE9"/>
          </w:tcPr>
          <w:p>
            <w:pPr>
              <w:spacing w:after="20" w:before="0" w:line="240" w:lineRule="auto"/>
            </w:pPr>
            <w:r>
              <w:rPr>
                <w:color w:val="1B1C19"/>
                <w:sz w:val="14"/>
              </w:rPr>
              <w:t>Performance, drift, incidents, usage, adoption, business value, control failures, review triggers</w:t>
            </w:r>
          </w:p>
        </w:tc>
        <w:tc>
          <w:tcPr>
            <w:tcW w:type="dxa" w:w="3300"/>
            <w:vAlign w:val="top"/>
            <w:shd w:fill="F0EEE9"/>
          </w:tcPr>
          <w:p>
            <w:pPr>
              <w:spacing w:after="20" w:before="0" w:line="240" w:lineRule="auto"/>
            </w:pPr>
            <w:r>
              <w:rPr>
                <w:color w:val="1B1C19"/>
                <w:sz w:val="14"/>
              </w:rPr>
              <w:t>Tracks whether AI remains safe and valuable after launch.</w:t>
            </w:r>
          </w:p>
        </w:tc>
      </w:tr>
    </w:tbl>
    <w:p/>
    <w:p>
      <w:pPr>
        <w:pStyle w:val="Heading1"/>
      </w:pPr>
      <w:r>
        <w:rPr>
          <w:rFonts w:ascii="Aptos Display" w:hAnsi="Aptos Display"/>
          <w:color w:val="2D3924"/>
        </w:rPr>
        <w:t>Website positioning</w:t>
      </w:r>
    </w:p>
    <w:p>
      <w:pPr>
        <w:spacing w:after="100"/>
      </w:pPr>
      <w:r>
        <w:rPr>
          <w:rFonts w:ascii="Aptos" w:hAnsi="Aptos"/>
          <w:color w:val="1B1C19"/>
          <w:sz w:val="17"/>
        </w:rPr>
        <w:t>Use this artifact as a downloadable governance-layer AI governance checklist and as a future guided skill inside Lapemo. The website version should explain that AI governance is not policy theater. It is operating-model control for ownership, data, decisions, evidence, controls, risk, monitoring, and lifecycle management.</w:t>
      </w:r>
    </w:p>
    <w:p>
      <w:pPr>
        <w:pStyle w:val="Heading1"/>
      </w:pPr>
      <w:r>
        <w:rPr>
          <w:rFonts w:ascii="Aptos Display" w:hAnsi="Aptos Display"/>
          <w:color w:val="2D3924"/>
        </w:rPr>
        <w:t>Reusable knowledge object structure</w:t>
      </w:r>
    </w:p>
    <w:tbl>
      <w:tblPr>
        <w:tblStyle w:val="TableGrid"/>
        <w:tblW w:type="auto" w:w="0"/>
        <w:jc w:val="center"/>
        <w:tblLook w:firstColumn="1" w:firstRow="1" w:lastColumn="0" w:lastRow="0" w:noHBand="0" w:noVBand="1" w:val="04A0"/>
      </w:tblPr>
      <w:tblGrid>
        <w:gridCol w:w="5328"/>
        <w:gridCol w:w="5328"/>
      </w:tblGrid>
      <w:tr>
        <w:trPr>
          <w:cantSplit/>
        </w:trPr>
        <w:tc>
          <w:tcPr>
            <w:tcW w:type="dxa" w:w="2400"/>
            <w:vAlign w:val="top"/>
            <w:shd w:fill="2D3924"/>
          </w:tcPr>
          <w:p>
            <w:pPr>
              <w:spacing w:after="20" w:before="0" w:line="240" w:lineRule="auto"/>
            </w:pPr>
            <w:r>
              <w:rPr>
                <w:b/>
                <w:color w:val="FFFFFF"/>
                <w:sz w:val="15"/>
              </w:rPr>
              <w:t>Layer</w:t>
            </w:r>
          </w:p>
        </w:tc>
        <w:tc>
          <w:tcPr>
            <w:tcW w:type="dxa" w:w="6600"/>
            <w:vAlign w:val="top"/>
            <w:shd w:fill="2D3924"/>
          </w:tcPr>
          <w:p>
            <w:pPr>
              <w:spacing w:after="20" w:before="0" w:line="240" w:lineRule="auto"/>
            </w:pPr>
            <w:r>
              <w:rPr>
                <w:b/>
                <w:color w:val="FFFFFF"/>
                <w:sz w:val="15"/>
              </w:rPr>
              <w:t>Reusable asset</w:t>
            </w:r>
          </w:p>
        </w:tc>
      </w:tr>
      <w:tr>
        <w:trPr>
          <w:cantSplit/>
        </w:trPr>
        <w:tc>
          <w:tcPr>
            <w:tcW w:type="dxa" w:w="2400"/>
            <w:vAlign w:val="top"/>
          </w:tcPr>
          <w:p>
            <w:pPr>
              <w:spacing w:after="20" w:before="0" w:line="240" w:lineRule="auto"/>
            </w:pPr>
            <w:r>
              <w:rPr>
                <w:color w:val="1B1C19"/>
                <w:sz w:val="14"/>
              </w:rPr>
              <w:t>Human guide</w:t>
            </w:r>
          </w:p>
        </w:tc>
        <w:tc>
          <w:tcPr>
            <w:tcW w:type="dxa" w:w="6600"/>
            <w:vAlign w:val="top"/>
          </w:tcPr>
          <w:p>
            <w:pPr>
              <w:spacing w:after="20" w:before="0" w:line="240" w:lineRule="auto"/>
            </w:pPr>
            <w:r>
              <w:rPr>
                <w:color w:val="1B1C19"/>
                <w:sz w:val="14"/>
              </w:rPr>
              <w:t>Plain-English explanation, governance domains, checklist sections, scale versions, and scoring logic.</w:t>
            </w:r>
          </w:p>
        </w:tc>
      </w:tr>
      <w:tr>
        <w:trPr>
          <w:cantSplit/>
        </w:trPr>
        <w:tc>
          <w:tcPr>
            <w:tcW w:type="dxa" w:w="2400"/>
            <w:vAlign w:val="top"/>
            <w:shd w:fill="F0EEE9"/>
          </w:tcPr>
          <w:p>
            <w:pPr>
              <w:spacing w:after="20" w:before="0" w:line="240" w:lineRule="auto"/>
            </w:pPr>
            <w:r>
              <w:rPr>
                <w:color w:val="1B1C19"/>
                <w:sz w:val="14"/>
              </w:rPr>
              <w:t>Downloadable template</w:t>
            </w:r>
          </w:p>
        </w:tc>
        <w:tc>
          <w:tcPr>
            <w:tcW w:type="dxa" w:w="6600"/>
            <w:vAlign w:val="top"/>
            <w:shd w:fill="F0EEE9"/>
          </w:tcPr>
          <w:p>
            <w:pPr>
              <w:spacing w:after="20" w:before="0" w:line="240" w:lineRule="auto"/>
            </w:pPr>
            <w:r>
              <w:rPr>
                <w:color w:val="1B1C19"/>
                <w:sz w:val="14"/>
              </w:rPr>
              <w:t>DOCX and PDF for governance reviews, AI readiness workshops, pilot assessments, and executive briefings.</w:t>
            </w:r>
          </w:p>
        </w:tc>
      </w:tr>
      <w:tr>
        <w:trPr>
          <w:cantSplit/>
        </w:trPr>
        <w:tc>
          <w:tcPr>
            <w:tcW w:type="dxa" w:w="2400"/>
            <w:vAlign w:val="top"/>
          </w:tcPr>
          <w:p>
            <w:pPr>
              <w:spacing w:after="20" w:before="0" w:line="240" w:lineRule="auto"/>
            </w:pPr>
            <w:r>
              <w:rPr>
                <w:color w:val="1B1C19"/>
                <w:sz w:val="14"/>
              </w:rPr>
              <w:t>Machine-readable schema</w:t>
            </w:r>
          </w:p>
        </w:tc>
        <w:tc>
          <w:tcPr>
            <w:tcW w:type="dxa" w:w="6600"/>
            <w:vAlign w:val="top"/>
          </w:tcPr>
          <w:p>
            <w:pPr>
              <w:spacing w:after="20" w:before="0" w:line="240" w:lineRule="auto"/>
            </w:pPr>
            <w:r>
              <w:rPr>
                <w:color w:val="1B1C19"/>
                <w:sz w:val="14"/>
              </w:rPr>
              <w:t>JSON object with required fields, scoring logic, prompts, validation rules, and Lapemo mappings.</w:t>
            </w:r>
          </w:p>
        </w:tc>
      </w:tr>
      <w:tr>
        <w:trPr>
          <w:cantSplit/>
        </w:trPr>
        <w:tc>
          <w:tcPr>
            <w:tcW w:type="dxa" w:w="2400"/>
            <w:vAlign w:val="top"/>
            <w:shd w:fill="F0EEE9"/>
          </w:tcPr>
          <w:p>
            <w:pPr>
              <w:spacing w:after="20" w:before="0" w:line="240" w:lineRule="auto"/>
            </w:pPr>
            <w:r>
              <w:rPr>
                <w:color w:val="1B1C19"/>
                <w:sz w:val="14"/>
              </w:rPr>
              <w:t>Guided skill</w:t>
            </w:r>
          </w:p>
        </w:tc>
        <w:tc>
          <w:tcPr>
            <w:tcW w:type="dxa" w:w="6600"/>
            <w:vAlign w:val="top"/>
            <w:shd w:fill="F0EEE9"/>
          </w:tcPr>
          <w:p>
            <w:pPr>
              <w:spacing w:after="20" w:before="0" w:line="240" w:lineRule="auto"/>
            </w:pPr>
            <w:r>
              <w:rPr>
                <w:color w:val="1B1C19"/>
                <w:sz w:val="14"/>
              </w:rPr>
              <w:t>Future Lapemo workflow that asks governance questions, scores readiness, validates evidence, checks controls, and recommends proceed, review, escalate, block, or retire.</w:t>
            </w:r>
          </w:p>
        </w:tc>
      </w:tr>
    </w:tbl>
    <w:p/>
    <w:sectPr w:rsidR="00FC693F" w:rsidRPr="0006063C" w:rsidSect="00034616">
      <w:headerReference w:type="default" r:id="rId9"/>
      <w:footerReference w:type="default" r:id="rId10"/>
      <w:pgSz w:w="12240" w:h="15840"/>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E605A"/>
        <w:sz w:val="16"/>
      </w:rPr>
      <w:t>LPM / Lapemo · reusable operating-model artifact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5E605A"/>
        <w:sz w:val="16"/>
      </w:rPr>
      <w:t>LPM Knowledge Object · AI Governance Checklist · v1.0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1B1C19"/>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2D3924"/>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D3924"/>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2D39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Governance Checklist</dc:title>
  <dc:subject>Reusable LPM Knowledge Object</dc:subject>
  <dc:creator>LPM / Lapemo</dc:creator>
  <cp:keywords/>
  <dc:description/>
  <cp:lastModifiedBy>LPM / Lapemo</cp:lastModifiedBy>
  <cp:revision>1</cp:revision>
  <dcterms:created xsi:type="dcterms:W3CDTF">2013-12-23T23:15:00Z</dcterms:created>
  <dcterms:modified xsi:type="dcterms:W3CDTF">2013-12-23T23:15:00Z</dcterms:modified>
  <cp:category/>
</cp:coreProperties>
</file>