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ptos" w:hAnsi="Aptos"/>
          <w:b/>
          <w:color w:val="556348"/>
          <w:sz w:val="17"/>
        </w:rPr>
        <w:t>LPM KNOWLEDGE OBJECT</w:t>
      </w:r>
    </w:p>
    <w:p>
      <w:pPr>
        <w:pStyle w:val="Title"/>
      </w:pPr>
      <w:r>
        <w:t>AI Use Case Governance Register</w:t>
      </w:r>
    </w:p>
    <w:p>
      <w:pPr>
        <w:spacing w:after="120"/>
      </w:pPr>
      <w:r>
        <w:rPr>
          <w:color w:val="5E605A"/>
          <w:sz w:val="22"/>
        </w:rPr>
        <w:t>AI Amplification Layer | Reusable template for governing AI use cases from idea through retirement</w:t>
      </w:r>
    </w:p>
    <w:tbl>
      <w:tblPr>
        <w:tblW w:type="auto" w:w="0"/>
        <w:jc w:val="center"/>
        <w:tblLook w:firstColumn="1" w:firstRow="1" w:lastColumn="0" w:lastRow="0" w:noHBand="0" w:noVBand="1" w:val="04A0"/>
      </w:tblPr>
      <w:tblGrid>
        <w:gridCol w:w="10656"/>
      </w:tblGrid>
      <w:tr>
        <w:tc>
          <w:tcPr>
            <w:tcW w:type="dxa" w:w="10656"/>
            <w:shd w:fill="D9E8C7"/>
          </w:tcPr>
          <w:p>
            <w:pPr>
              <w:spacing w:after="0"/>
            </w:pPr>
            <w:r/>
            <w:r>
              <w:rPr>
                <w:rFonts w:ascii="Aptos" w:hAnsi="Aptos"/>
                <w:b w:val="0"/>
                <w:color w:val="182310"/>
                <w:sz w:val="20"/>
              </w:rPr>
              <w:t>Use this AI Use Case Governance Register to make every AI initiative visible, owned, classified, controlled, monitored, and reviewable. The register prevents AI work from becoming scattered pilots, hidden automation, vendor-led experimentation, or unmanaged agent behavior. It turns each AI use case into a governed operating-model object tied to ownership, data boundaries, decision rights, human review, controls, risk acceptance, evidence, monitoring, value, and lifecycle state.</w:t>
            </w:r>
          </w:p>
        </w:tc>
      </w:tr>
    </w:tbl>
    <w:p/>
    <w:p>
      <w:pPr>
        <w:pStyle w:val="Heading1"/>
      </w:pPr>
      <w:r>
        <w:t>1. Object metadata</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600"/>
            <w:shd w:fill="2D3924"/>
            <w:vAlign w:val="center"/>
          </w:tcPr>
          <w:p>
            <w:pPr>
              <w:spacing w:after="0"/>
            </w:pPr>
            <w:r/>
            <w:r>
              <w:rPr>
                <w:rFonts w:ascii="Aptos" w:hAnsi="Aptos"/>
                <w:b/>
                <w:color w:val="FFFFFF"/>
                <w:sz w:val="17"/>
              </w:rPr>
              <w:t>Metadata</w:t>
            </w:r>
          </w:p>
        </w:tc>
        <w:tc>
          <w:tcPr>
            <w:tcW w:type="dxa" w:w="7000"/>
            <w:shd w:fill="2D3924"/>
            <w:vAlign w:val="center"/>
          </w:tcPr>
          <w:p>
            <w:pPr>
              <w:spacing w:after="0"/>
            </w:pPr>
            <w:r/>
            <w:r>
              <w:rPr>
                <w:rFonts w:ascii="Aptos" w:hAnsi="Aptos"/>
                <w:b/>
                <w:color w:val="FFFFFF"/>
                <w:sz w:val="17"/>
              </w:rPr>
              <w:t>Value</w:t>
            </w:r>
          </w:p>
        </w:tc>
      </w:tr>
      <w:tr>
        <w:tc>
          <w:tcPr>
            <w:tcW w:type="dxa" w:w="2600"/>
            <w:shd w:fill="F0EEE9"/>
            <w:vAlign w:val="top"/>
          </w:tcPr>
          <w:p>
            <w:pPr>
              <w:spacing w:after="0"/>
            </w:pPr>
            <w:r/>
            <w:r>
              <w:rPr>
                <w:rFonts w:ascii="Aptos" w:hAnsi="Aptos"/>
                <w:b w:val="0"/>
                <w:sz w:val="17"/>
              </w:rPr>
              <w:t>Object type</w:t>
            </w:r>
          </w:p>
        </w:tc>
        <w:tc>
          <w:tcPr>
            <w:tcW w:type="dxa" w:w="7000"/>
            <w:shd w:fill="FFFFFF"/>
            <w:vAlign w:val="top"/>
          </w:tcPr>
          <w:p>
            <w:pPr>
              <w:spacing w:after="0"/>
            </w:pPr>
            <w:r/>
            <w:r>
              <w:rPr>
                <w:rFonts w:ascii="Aptos" w:hAnsi="Aptos"/>
                <w:b w:val="0"/>
                <w:sz w:val="17"/>
              </w:rPr>
              <w:t>LPM Knowledge Object</w:t>
            </w:r>
          </w:p>
        </w:tc>
      </w:tr>
      <w:tr>
        <w:tc>
          <w:tcPr>
            <w:tcW w:type="dxa" w:w="2600"/>
            <w:shd w:fill="F0EEE9"/>
            <w:vAlign w:val="top"/>
          </w:tcPr>
          <w:p>
            <w:pPr>
              <w:spacing w:after="0"/>
            </w:pPr>
            <w:r/>
            <w:r>
              <w:rPr>
                <w:rFonts w:ascii="Aptos" w:hAnsi="Aptos"/>
                <w:b w:val="0"/>
                <w:sz w:val="17"/>
              </w:rPr>
              <w:t>Primary LPM layer</w:t>
            </w:r>
          </w:p>
        </w:tc>
        <w:tc>
          <w:tcPr>
            <w:tcW w:type="dxa" w:w="7000"/>
            <w:shd w:fill="FFFFFF"/>
            <w:vAlign w:val="top"/>
          </w:tcPr>
          <w:p>
            <w:pPr>
              <w:spacing w:after="0"/>
            </w:pPr>
            <w:r/>
            <w:r>
              <w:rPr>
                <w:rFonts w:ascii="Aptos" w:hAnsi="Aptos"/>
                <w:b w:val="0"/>
                <w:sz w:val="17"/>
              </w:rPr>
              <w:t>AI Amplification</w:t>
            </w:r>
          </w:p>
        </w:tc>
      </w:tr>
      <w:tr>
        <w:tc>
          <w:tcPr>
            <w:tcW w:type="dxa" w:w="2600"/>
            <w:shd w:fill="F0EEE9"/>
            <w:vAlign w:val="top"/>
          </w:tcPr>
          <w:p>
            <w:pPr>
              <w:spacing w:after="0"/>
            </w:pPr>
            <w:r/>
            <w:r>
              <w:rPr>
                <w:rFonts w:ascii="Aptos" w:hAnsi="Aptos"/>
                <w:b w:val="0"/>
                <w:sz w:val="17"/>
              </w:rPr>
              <w:t>Connected layers</w:t>
            </w:r>
          </w:p>
        </w:tc>
        <w:tc>
          <w:tcPr>
            <w:tcW w:type="dxa" w:w="7000"/>
            <w:shd w:fill="FFFFFF"/>
            <w:vAlign w:val="top"/>
          </w:tcPr>
          <w:p>
            <w:pPr>
              <w:spacing w:after="0"/>
            </w:pPr>
            <w:r/>
            <w:r>
              <w:rPr>
                <w:rFonts w:ascii="Aptos" w:hAnsi="Aptos"/>
                <w:b w:val="0"/>
                <w:sz w:val="17"/>
              </w:rPr>
              <w:t>Ownership Map, Decision Architecture, Information Ecology, Platform Structure, Governance Architecture, Control Map, Risk Acceptance Register, AI Governance Checklist, Agent Accountability Checklist, Human-in-the-Loop Model</w:t>
            </w:r>
          </w:p>
        </w:tc>
      </w:tr>
      <w:tr>
        <w:tc>
          <w:tcPr>
            <w:tcW w:type="dxa" w:w="2600"/>
            <w:shd w:fill="F0EEE9"/>
            <w:vAlign w:val="top"/>
          </w:tcPr>
          <w:p>
            <w:pPr>
              <w:spacing w:after="0"/>
            </w:pPr>
            <w:r/>
            <w:r>
              <w:rPr>
                <w:rFonts w:ascii="Aptos" w:hAnsi="Aptos"/>
                <w:b w:val="0"/>
                <w:sz w:val="17"/>
              </w:rPr>
              <w:t>Primary use</w:t>
            </w:r>
          </w:p>
        </w:tc>
        <w:tc>
          <w:tcPr>
            <w:tcW w:type="dxa" w:w="7000"/>
            <w:shd w:fill="FFFFFF"/>
            <w:vAlign w:val="top"/>
          </w:tcPr>
          <w:p>
            <w:pPr>
              <w:spacing w:after="0"/>
            </w:pPr>
            <w:r/>
            <w:r>
              <w:rPr>
                <w:rFonts w:ascii="Aptos" w:hAnsi="Aptos"/>
                <w:b w:val="0"/>
                <w:sz w:val="17"/>
              </w:rPr>
              <w:t>Maintain a governed register of AI use cases from idea through retirement, with ownership, risk, permissions, evidence, controls, monitoring, and value realization.</w:t>
            </w:r>
          </w:p>
        </w:tc>
      </w:tr>
      <w:tr>
        <w:tc>
          <w:tcPr>
            <w:tcW w:type="dxa" w:w="2600"/>
            <w:shd w:fill="F0EEE9"/>
            <w:vAlign w:val="top"/>
          </w:tcPr>
          <w:p>
            <w:pPr>
              <w:spacing w:after="0"/>
            </w:pPr>
            <w:r/>
            <w:r>
              <w:rPr>
                <w:rFonts w:ascii="Aptos" w:hAnsi="Aptos"/>
                <w:b w:val="0"/>
                <w:sz w:val="17"/>
              </w:rPr>
              <w:t>Website use</w:t>
            </w:r>
          </w:p>
        </w:tc>
        <w:tc>
          <w:tcPr>
            <w:tcW w:type="dxa" w:w="7000"/>
            <w:shd w:fill="FFFFFF"/>
            <w:vAlign w:val="top"/>
          </w:tcPr>
          <w:p>
            <w:pPr>
              <w:spacing w:after="0"/>
            </w:pPr>
            <w:r/>
            <w:r>
              <w:rPr>
                <w:rFonts w:ascii="Aptos" w:hAnsi="Aptos"/>
                <w:b w:val="0"/>
                <w:sz w:val="17"/>
              </w:rPr>
              <w:t>Downloadable register, AI governance artifact, design partner worksheet, JSON object for Lapemo ingestion, and future guided skill.</w:t>
            </w:r>
          </w:p>
        </w:tc>
      </w:tr>
      <w:tr>
        <w:tc>
          <w:tcPr>
            <w:tcW w:type="dxa" w:w="2600"/>
            <w:shd w:fill="F0EEE9"/>
            <w:vAlign w:val="top"/>
          </w:tcPr>
          <w:p>
            <w:pPr>
              <w:spacing w:after="0"/>
            </w:pPr>
            <w:r/>
            <w:r>
              <w:rPr>
                <w:rFonts w:ascii="Aptos" w:hAnsi="Aptos"/>
                <w:b w:val="0"/>
                <w:sz w:val="17"/>
              </w:rPr>
              <w:t>Version</w:t>
            </w:r>
          </w:p>
        </w:tc>
        <w:tc>
          <w:tcPr>
            <w:tcW w:type="dxa" w:w="7000"/>
            <w:shd w:fill="FFFFFF"/>
            <w:vAlign w:val="top"/>
          </w:tcPr>
          <w:p>
            <w:pPr>
              <w:spacing w:after="0"/>
            </w:pPr>
            <w:r/>
            <w:r>
              <w:rPr>
                <w:rFonts w:ascii="Aptos" w:hAnsi="Aptos"/>
                <w:b w:val="0"/>
                <w:sz w:val="17"/>
              </w:rPr>
              <w:t>1.0</w:t>
            </w:r>
          </w:p>
        </w:tc>
      </w:tr>
      <w:tr>
        <w:tc>
          <w:tcPr>
            <w:tcW w:type="dxa" w:w="2600"/>
            <w:shd w:fill="F0EEE9"/>
            <w:vAlign w:val="top"/>
          </w:tcPr>
          <w:p>
            <w:pPr>
              <w:spacing w:after="0"/>
            </w:pPr>
            <w:r/>
            <w:r>
              <w:rPr>
                <w:rFonts w:ascii="Aptos" w:hAnsi="Aptos"/>
                <w:b w:val="0"/>
                <w:sz w:val="17"/>
              </w:rPr>
              <w:t>Owner</w:t>
            </w:r>
          </w:p>
        </w:tc>
        <w:tc>
          <w:tcPr>
            <w:tcW w:type="dxa" w:w="7000"/>
            <w:shd w:fill="FFFFFF"/>
            <w:vAlign w:val="top"/>
          </w:tcPr>
          <w:p>
            <w:pPr>
              <w:spacing w:after="0"/>
            </w:pPr>
            <w:r/>
            <w:r>
              <w:rPr>
                <w:rFonts w:ascii="Aptos" w:hAnsi="Aptos"/>
                <w:b w:val="0"/>
                <w:sz w:val="17"/>
              </w:rPr>
              <w:t>LPM / Lapemo</w:t>
            </w:r>
          </w:p>
        </w:tc>
      </w:tr>
      <w:tr>
        <w:tc>
          <w:tcPr>
            <w:tcW w:type="dxa" w:w="2600"/>
            <w:shd w:fill="F0EEE9"/>
            <w:vAlign w:val="top"/>
          </w:tcPr>
          <w:p>
            <w:pPr>
              <w:spacing w:after="0"/>
            </w:pPr>
            <w:r/>
            <w:r>
              <w:rPr>
                <w:rFonts w:ascii="Aptos" w:hAnsi="Aptos"/>
                <w:b w:val="0"/>
                <w:sz w:val="17"/>
              </w:rPr>
              <w:t>Last reviewed</w:t>
            </w:r>
          </w:p>
        </w:tc>
        <w:tc>
          <w:tcPr>
            <w:tcW w:type="dxa" w:w="7000"/>
            <w:shd w:fill="FFFFFF"/>
            <w:vAlign w:val="top"/>
          </w:tcPr>
          <w:p>
            <w:pPr>
              <w:spacing w:after="0"/>
            </w:pPr>
            <w:r/>
            <w:r>
              <w:rPr>
                <w:rFonts w:ascii="Aptos" w:hAnsi="Aptos"/>
                <w:b w:val="0"/>
                <w:sz w:val="17"/>
              </w:rPr>
              <w:t>2026-06-24</w:t>
            </w:r>
          </w:p>
        </w:tc>
      </w:tr>
    </w:tbl>
    <w:p/>
    <w:p>
      <w:pPr>
        <w:pStyle w:val="Heading1"/>
      </w:pPr>
      <w:r>
        <w:t>2. Core principles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600"/>
            <w:shd w:fill="2D3924"/>
            <w:vAlign w:val="center"/>
          </w:tcPr>
          <w:p>
            <w:pPr>
              <w:spacing w:after="0"/>
            </w:pPr>
            <w:r/>
            <w:r>
              <w:rPr>
                <w:rFonts w:ascii="Aptos" w:hAnsi="Aptos"/>
                <w:b/>
                <w:color w:val="FFFFFF"/>
                <w:sz w:val="17"/>
              </w:rPr>
              <w:t>Principle</w:t>
            </w:r>
          </w:p>
        </w:tc>
        <w:tc>
          <w:tcPr>
            <w:tcW w:type="dxa" w:w="7000"/>
            <w:shd w:fill="2D3924"/>
            <w:vAlign w:val="center"/>
          </w:tcPr>
          <w:p>
            <w:pPr>
              <w:spacing w:after="0"/>
            </w:pPr>
            <w:r/>
            <w:r>
              <w:rPr>
                <w:rFonts w:ascii="Aptos" w:hAnsi="Aptos"/>
                <w:b/>
                <w:color w:val="FFFFFF"/>
                <w:sz w:val="17"/>
              </w:rPr>
              <w:t>Meaning</w:t>
            </w:r>
          </w:p>
        </w:tc>
      </w:tr>
      <w:tr>
        <w:tc>
          <w:tcPr>
            <w:tcW w:type="dxa" w:w="2600"/>
            <w:shd w:fill="F0EEE9"/>
            <w:vAlign w:val="top"/>
          </w:tcPr>
          <w:p>
            <w:pPr>
              <w:spacing w:after="0"/>
            </w:pPr>
            <w:r/>
            <w:r>
              <w:rPr>
                <w:rFonts w:ascii="Aptos" w:hAnsi="Aptos"/>
                <w:b w:val="0"/>
                <w:sz w:val="17"/>
              </w:rPr>
              <w:t>Register before scale</w:t>
            </w:r>
          </w:p>
        </w:tc>
        <w:tc>
          <w:tcPr>
            <w:tcW w:type="dxa" w:w="7000"/>
            <w:shd w:fill="FFFFFF"/>
            <w:vAlign w:val="top"/>
          </w:tcPr>
          <w:p>
            <w:pPr>
              <w:spacing w:after="0"/>
            </w:pPr>
            <w:r/>
            <w:r>
              <w:rPr>
                <w:rFonts w:ascii="Aptos" w:hAnsi="Aptos"/>
                <w:b w:val="0"/>
                <w:sz w:val="17"/>
              </w:rPr>
              <w:t>Every AI use case should be visible before it becomes an operational dependency.</w:t>
            </w:r>
          </w:p>
        </w:tc>
      </w:tr>
      <w:tr>
        <w:tc>
          <w:tcPr>
            <w:tcW w:type="dxa" w:w="2600"/>
            <w:shd w:fill="F0EEE9"/>
            <w:vAlign w:val="top"/>
          </w:tcPr>
          <w:p>
            <w:pPr>
              <w:spacing w:after="0"/>
            </w:pPr>
            <w:r/>
            <w:r>
              <w:rPr>
                <w:rFonts w:ascii="Aptos" w:hAnsi="Aptos"/>
                <w:b w:val="0"/>
                <w:sz w:val="17"/>
              </w:rPr>
              <w:t>One owner, many contributors</w:t>
            </w:r>
          </w:p>
        </w:tc>
        <w:tc>
          <w:tcPr>
            <w:tcW w:type="dxa" w:w="7000"/>
            <w:shd w:fill="FFFFFF"/>
            <w:vAlign w:val="top"/>
          </w:tcPr>
          <w:p>
            <w:pPr>
              <w:spacing w:after="0"/>
            </w:pPr>
            <w:r/>
            <w:r>
              <w:rPr>
                <w:rFonts w:ascii="Aptos" w:hAnsi="Aptos"/>
                <w:b w:val="0"/>
                <w:sz w:val="17"/>
              </w:rPr>
              <w:t>The register may include technical, data, risk, and control owners, but one business owner is accountable for the use case outcome.</w:t>
            </w:r>
          </w:p>
        </w:tc>
      </w:tr>
      <w:tr>
        <w:tc>
          <w:tcPr>
            <w:tcW w:type="dxa" w:w="2600"/>
            <w:shd w:fill="F0EEE9"/>
            <w:vAlign w:val="top"/>
          </w:tcPr>
          <w:p>
            <w:pPr>
              <w:spacing w:after="0"/>
            </w:pPr>
            <w:r/>
            <w:r>
              <w:rPr>
                <w:rFonts w:ascii="Aptos" w:hAnsi="Aptos"/>
                <w:b w:val="0"/>
                <w:sz w:val="17"/>
              </w:rPr>
              <w:t>Govern the strongest action</w:t>
            </w:r>
          </w:p>
        </w:tc>
        <w:tc>
          <w:tcPr>
            <w:tcW w:type="dxa" w:w="7000"/>
            <w:shd w:fill="FFFFFF"/>
            <w:vAlign w:val="top"/>
          </w:tcPr>
          <w:p>
            <w:pPr>
              <w:spacing w:after="0"/>
            </w:pPr>
            <w:r/>
            <w:r>
              <w:rPr>
                <w:rFonts w:ascii="Aptos" w:hAnsi="Aptos"/>
                <w:b w:val="0"/>
                <w:sz w:val="17"/>
              </w:rPr>
              <w:t>Classify the use case by the most powerful thing AI can do, not the marketing description or average workflow.</w:t>
            </w:r>
          </w:p>
        </w:tc>
      </w:tr>
      <w:tr>
        <w:tc>
          <w:tcPr>
            <w:tcW w:type="dxa" w:w="2600"/>
            <w:shd w:fill="F0EEE9"/>
            <w:vAlign w:val="top"/>
          </w:tcPr>
          <w:p>
            <w:pPr>
              <w:spacing w:after="0"/>
            </w:pPr>
            <w:r/>
            <w:r>
              <w:rPr>
                <w:rFonts w:ascii="Aptos" w:hAnsi="Aptos"/>
                <w:b w:val="0"/>
                <w:sz w:val="17"/>
              </w:rPr>
              <w:t>Data access is a decision right</w:t>
            </w:r>
          </w:p>
        </w:tc>
        <w:tc>
          <w:tcPr>
            <w:tcW w:type="dxa" w:w="7000"/>
            <w:shd w:fill="FFFFFF"/>
            <w:vAlign w:val="top"/>
          </w:tcPr>
          <w:p>
            <w:pPr>
              <w:spacing w:after="0"/>
            </w:pPr>
            <w:r/>
            <w:r>
              <w:rPr>
                <w:rFonts w:ascii="Aptos" w:hAnsi="Aptos"/>
                <w:b w:val="0"/>
                <w:sz w:val="17"/>
              </w:rPr>
              <w:t>AI access to sources, APIs, tools, and systems is part of the operating model and must be approved.</w:t>
            </w:r>
          </w:p>
        </w:tc>
      </w:tr>
      <w:tr>
        <w:tc>
          <w:tcPr>
            <w:tcW w:type="dxa" w:w="2600"/>
            <w:shd w:fill="F0EEE9"/>
            <w:vAlign w:val="top"/>
          </w:tcPr>
          <w:p>
            <w:pPr>
              <w:spacing w:after="0"/>
            </w:pPr>
            <w:r/>
            <w:r>
              <w:rPr>
                <w:rFonts w:ascii="Aptos" w:hAnsi="Aptos"/>
                <w:b w:val="0"/>
                <w:sz w:val="17"/>
              </w:rPr>
              <w:t>Human review must match impact</w:t>
            </w:r>
          </w:p>
        </w:tc>
        <w:tc>
          <w:tcPr>
            <w:tcW w:type="dxa" w:w="7000"/>
            <w:shd w:fill="FFFFFF"/>
            <w:vAlign w:val="top"/>
          </w:tcPr>
          <w:p>
            <w:pPr>
              <w:spacing w:after="0"/>
            </w:pPr>
            <w:r/>
            <w:r>
              <w:rPr>
                <w:rFonts w:ascii="Aptos" w:hAnsi="Aptos"/>
                <w:b w:val="0"/>
                <w:sz w:val="17"/>
              </w:rPr>
              <w:t>Human-in-the-loop rules must be based on risk, autonomy, sensitivity, and reversibility.</w:t>
            </w:r>
          </w:p>
        </w:tc>
      </w:tr>
      <w:tr>
        <w:tc>
          <w:tcPr>
            <w:tcW w:type="dxa" w:w="2600"/>
            <w:shd w:fill="F0EEE9"/>
            <w:vAlign w:val="top"/>
          </w:tcPr>
          <w:p>
            <w:pPr>
              <w:spacing w:after="0"/>
            </w:pPr>
            <w:r/>
            <w:r>
              <w:rPr>
                <w:rFonts w:ascii="Aptos" w:hAnsi="Aptos"/>
                <w:b w:val="0"/>
                <w:sz w:val="17"/>
              </w:rPr>
              <w:t>Evidence beats enthusiasm</w:t>
            </w:r>
          </w:p>
        </w:tc>
        <w:tc>
          <w:tcPr>
            <w:tcW w:type="dxa" w:w="7000"/>
            <w:shd w:fill="FFFFFF"/>
            <w:vAlign w:val="top"/>
          </w:tcPr>
          <w:p>
            <w:pPr>
              <w:spacing w:after="0"/>
            </w:pPr>
            <w:r/>
            <w:r>
              <w:rPr>
                <w:rFonts w:ascii="Aptos" w:hAnsi="Aptos"/>
                <w:b w:val="0"/>
                <w:sz w:val="17"/>
              </w:rPr>
              <w:t>The register must connect use cases to evidence, validation, monitoring, and value signals.</w:t>
            </w:r>
          </w:p>
        </w:tc>
      </w:tr>
      <w:tr>
        <w:tc>
          <w:tcPr>
            <w:tcW w:type="dxa" w:w="2600"/>
            <w:shd w:fill="F0EEE9"/>
            <w:vAlign w:val="top"/>
          </w:tcPr>
          <w:p>
            <w:pPr>
              <w:spacing w:after="0"/>
            </w:pPr>
            <w:r/>
            <w:r>
              <w:rPr>
                <w:rFonts w:ascii="Aptos" w:hAnsi="Aptos"/>
                <w:b w:val="0"/>
                <w:sz w:val="17"/>
              </w:rPr>
              <w:t>Lifecycle governance is mandatory</w:t>
            </w:r>
          </w:p>
        </w:tc>
        <w:tc>
          <w:tcPr>
            <w:tcW w:type="dxa" w:w="7000"/>
            <w:shd w:fill="FFFFFF"/>
            <w:vAlign w:val="top"/>
          </w:tcPr>
          <w:p>
            <w:pPr>
              <w:spacing w:after="0"/>
            </w:pPr>
            <w:r/>
            <w:r>
              <w:rPr>
                <w:rFonts w:ascii="Aptos" w:hAnsi="Aptos"/>
                <w:b w:val="0"/>
                <w:sz w:val="17"/>
              </w:rPr>
              <w:t>Use cases should move through states, reviews, restrictions, supersession, and retirement.</w:t>
            </w:r>
          </w:p>
        </w:tc>
      </w:tr>
      <w:tr>
        <w:tc>
          <w:tcPr>
            <w:tcW w:type="dxa" w:w="2600"/>
            <w:shd w:fill="F0EEE9"/>
            <w:vAlign w:val="top"/>
          </w:tcPr>
          <w:p>
            <w:pPr>
              <w:spacing w:after="0"/>
            </w:pPr>
            <w:r/>
            <w:r>
              <w:rPr>
                <w:rFonts w:ascii="Aptos" w:hAnsi="Aptos"/>
                <w:b w:val="0"/>
                <w:sz w:val="17"/>
              </w:rPr>
              <w:t>AI cannot be invisible work</w:t>
            </w:r>
          </w:p>
        </w:tc>
        <w:tc>
          <w:tcPr>
            <w:tcW w:type="dxa" w:w="7000"/>
            <w:shd w:fill="FFFFFF"/>
            <w:vAlign w:val="top"/>
          </w:tcPr>
          <w:p>
            <w:pPr>
              <w:spacing w:after="0"/>
            </w:pPr>
            <w:r/>
            <w:r>
              <w:rPr>
                <w:rFonts w:ascii="Aptos" w:hAnsi="Aptos"/>
                <w:b w:val="0"/>
                <w:sz w:val="17"/>
              </w:rPr>
              <w:t>AI pilots, agents, prompts, vendors, workflows, and automations need traceable ownership and governance.</w:t>
            </w:r>
          </w:p>
        </w:tc>
      </w:tr>
    </w:tbl>
    <w:p/>
    <w:p>
      <w:pPr>
        <w:pStyle w:val="Heading1"/>
      </w:pPr>
      <w:r>
        <w:t>3. Required register fields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500"/>
            <w:shd w:fill="2D3924"/>
            <w:vAlign w:val="center"/>
          </w:tcPr>
          <w:p>
            <w:pPr>
              <w:spacing w:after="0"/>
            </w:pPr>
            <w:r/>
            <w:r>
              <w:rPr>
                <w:rFonts w:ascii="Aptos" w:hAnsi="Aptos"/>
                <w:b/>
                <w:color w:val="FFFFFF"/>
                <w:sz w:val="15"/>
              </w:rPr>
              <w:t>Field</w:t>
            </w:r>
          </w:p>
        </w:tc>
        <w:tc>
          <w:tcPr>
            <w:tcW w:type="dxa" w:w="5700"/>
            <w:shd w:fill="2D3924"/>
            <w:vAlign w:val="center"/>
          </w:tcPr>
          <w:p>
            <w:pPr>
              <w:spacing w:after="0"/>
            </w:pPr>
            <w:r/>
            <w:r>
              <w:rPr>
                <w:rFonts w:ascii="Aptos" w:hAnsi="Aptos"/>
                <w:b/>
                <w:color w:val="FFFFFF"/>
                <w:sz w:val="15"/>
              </w:rPr>
              <w:t>Definition</w:t>
            </w:r>
          </w:p>
        </w:tc>
        <w:tc>
          <w:tcPr>
            <w:tcW w:type="dxa" w:w="1500"/>
            <w:shd w:fill="2D3924"/>
            <w:vAlign w:val="center"/>
          </w:tcPr>
          <w:p>
            <w:pPr>
              <w:spacing w:after="0"/>
            </w:pPr>
            <w:r/>
            <w:r>
              <w:rPr>
                <w:rFonts w:ascii="Aptos" w:hAnsi="Aptos"/>
                <w:b/>
                <w:color w:val="FFFFFF"/>
                <w:sz w:val="15"/>
              </w:rPr>
              <w:t>Required</w:t>
            </w:r>
          </w:p>
        </w:tc>
      </w:tr>
      <w:tr>
        <w:tc>
          <w:tcPr>
            <w:tcW w:type="dxa" w:w="2500"/>
            <w:shd w:fill="F0EEE9"/>
            <w:vAlign w:val="top"/>
          </w:tcPr>
          <w:p>
            <w:pPr>
              <w:spacing w:after="0"/>
            </w:pPr>
            <w:r/>
            <w:r>
              <w:rPr>
                <w:rFonts w:ascii="Aptos" w:hAnsi="Aptos"/>
                <w:b w:val="0"/>
                <w:sz w:val="15"/>
              </w:rPr>
              <w:t>Use case ID</w:t>
            </w:r>
          </w:p>
        </w:tc>
        <w:tc>
          <w:tcPr>
            <w:tcW w:type="dxa" w:w="5700"/>
            <w:shd w:fill="FFFFFF"/>
            <w:vAlign w:val="top"/>
          </w:tcPr>
          <w:p>
            <w:pPr>
              <w:spacing w:after="0"/>
            </w:pPr>
            <w:r/>
            <w:r>
              <w:rPr>
                <w:rFonts w:ascii="Aptos" w:hAnsi="Aptos"/>
                <w:b w:val="0"/>
                <w:sz w:val="15"/>
              </w:rPr>
              <w:t>Unique identifier for the AI use case</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Use case name</w:t>
            </w:r>
          </w:p>
        </w:tc>
        <w:tc>
          <w:tcPr>
            <w:tcW w:type="dxa" w:w="5700"/>
            <w:shd w:fill="FFFFFF"/>
            <w:vAlign w:val="top"/>
          </w:tcPr>
          <w:p>
            <w:pPr>
              <w:spacing w:after="0"/>
            </w:pPr>
            <w:r/>
            <w:r>
              <w:rPr>
                <w:rFonts w:ascii="Aptos" w:hAnsi="Aptos"/>
                <w:b w:val="0"/>
                <w:sz w:val="15"/>
              </w:rPr>
              <w:t>Plain-language name of the AI capability</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Business purpose</w:t>
            </w:r>
          </w:p>
        </w:tc>
        <w:tc>
          <w:tcPr>
            <w:tcW w:type="dxa" w:w="5700"/>
            <w:shd w:fill="FFFFFF"/>
            <w:vAlign w:val="top"/>
          </w:tcPr>
          <w:p>
            <w:pPr>
              <w:spacing w:after="0"/>
            </w:pPr>
            <w:r/>
            <w:r>
              <w:rPr>
                <w:rFonts w:ascii="Aptos" w:hAnsi="Aptos"/>
                <w:b w:val="0"/>
                <w:sz w:val="15"/>
              </w:rPr>
              <w:t>Outcome, workflow, decision, risk, customer, employee, or control need supported</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Accountable business owner</w:t>
            </w:r>
          </w:p>
        </w:tc>
        <w:tc>
          <w:tcPr>
            <w:tcW w:type="dxa" w:w="5700"/>
            <w:shd w:fill="FFFFFF"/>
            <w:vAlign w:val="top"/>
          </w:tcPr>
          <w:p>
            <w:pPr>
              <w:spacing w:after="0"/>
            </w:pPr>
            <w:r/>
            <w:r>
              <w:rPr>
                <w:rFonts w:ascii="Aptos" w:hAnsi="Aptos"/>
                <w:b w:val="0"/>
                <w:sz w:val="15"/>
              </w:rPr>
              <w:t>Person or role accountable for outcome, value, and risk acceptance</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Technical owner</w:t>
            </w:r>
          </w:p>
        </w:tc>
        <w:tc>
          <w:tcPr>
            <w:tcW w:type="dxa" w:w="5700"/>
            <w:shd w:fill="FFFFFF"/>
            <w:vAlign w:val="top"/>
          </w:tcPr>
          <w:p>
            <w:pPr>
              <w:spacing w:after="0"/>
            </w:pPr>
            <w:r/>
            <w:r>
              <w:rPr>
                <w:rFonts w:ascii="Aptos" w:hAnsi="Aptos"/>
                <w:b w:val="0"/>
                <w:sz w:val="15"/>
              </w:rPr>
              <w:t>Person or role accountable for build, integration, reliability, and logs</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Data or knowledge owner</w:t>
            </w:r>
          </w:p>
        </w:tc>
        <w:tc>
          <w:tcPr>
            <w:tcW w:type="dxa" w:w="5700"/>
            <w:shd w:fill="FFFFFF"/>
            <w:vAlign w:val="top"/>
          </w:tcPr>
          <w:p>
            <w:pPr>
              <w:spacing w:after="0"/>
            </w:pPr>
            <w:r/>
            <w:r>
              <w:rPr>
                <w:rFonts w:ascii="Aptos" w:hAnsi="Aptos"/>
                <w:b w:val="0"/>
                <w:sz w:val="15"/>
              </w:rPr>
              <w:t>Person or role accountable for sources, data quality, sensitivity, access, and freshness</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Control owner</w:t>
            </w:r>
          </w:p>
        </w:tc>
        <w:tc>
          <w:tcPr>
            <w:tcW w:type="dxa" w:w="5700"/>
            <w:shd w:fill="FFFFFF"/>
            <w:vAlign w:val="top"/>
          </w:tcPr>
          <w:p>
            <w:pPr>
              <w:spacing w:after="0"/>
            </w:pPr>
            <w:r/>
            <w:r>
              <w:rPr>
                <w:rFonts w:ascii="Aptos" w:hAnsi="Aptos"/>
                <w:b w:val="0"/>
                <w:sz w:val="15"/>
              </w:rPr>
              <w:t>Person or role accountable for control design, evidence, testing, monitoring, and exceptions</w:t>
            </w:r>
          </w:p>
        </w:tc>
        <w:tc>
          <w:tcPr>
            <w:tcW w:type="dxa" w:w="1500"/>
            <w:shd w:fill="FFFFFF"/>
            <w:vAlign w:val="top"/>
          </w:tcPr>
          <w:p>
            <w:pPr>
              <w:spacing w:after="0"/>
            </w:pPr>
            <w:r/>
            <w:r>
              <w:rPr>
                <w:rFonts w:ascii="Aptos" w:hAnsi="Aptos"/>
                <w:b w:val="0"/>
                <w:sz w:val="15"/>
              </w:rPr>
              <w:t>Required for moderate and above</w:t>
            </w:r>
          </w:p>
        </w:tc>
      </w:tr>
      <w:tr>
        <w:tc>
          <w:tcPr>
            <w:tcW w:type="dxa" w:w="2500"/>
            <w:shd w:fill="F0EEE9"/>
            <w:vAlign w:val="top"/>
          </w:tcPr>
          <w:p>
            <w:pPr>
              <w:spacing w:after="0"/>
            </w:pPr>
            <w:r/>
            <w:r>
              <w:rPr>
                <w:rFonts w:ascii="Aptos" w:hAnsi="Aptos"/>
                <w:b w:val="0"/>
                <w:sz w:val="15"/>
              </w:rPr>
              <w:t>AI type</w:t>
            </w:r>
          </w:p>
        </w:tc>
        <w:tc>
          <w:tcPr>
            <w:tcW w:type="dxa" w:w="5700"/>
            <w:shd w:fill="FFFFFF"/>
            <w:vAlign w:val="top"/>
          </w:tcPr>
          <w:p>
            <w:pPr>
              <w:spacing w:after="0"/>
            </w:pPr>
            <w:r/>
            <w:r>
              <w:rPr>
                <w:rFonts w:ascii="Aptos" w:hAnsi="Aptos"/>
                <w:b w:val="0"/>
                <w:sz w:val="15"/>
              </w:rPr>
              <w:t>Assistant, copilot, summarizer, classifier, recommender, RAG workflow, automation, model, agent, or decision support</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Workflow or decision supported</w:t>
            </w:r>
          </w:p>
        </w:tc>
        <w:tc>
          <w:tcPr>
            <w:tcW w:type="dxa" w:w="5700"/>
            <w:shd w:fill="FFFFFF"/>
            <w:vAlign w:val="top"/>
          </w:tcPr>
          <w:p>
            <w:pPr>
              <w:spacing w:after="0"/>
            </w:pPr>
            <w:r/>
            <w:r>
              <w:rPr>
                <w:rFonts w:ascii="Aptos" w:hAnsi="Aptos"/>
                <w:b w:val="0"/>
                <w:sz w:val="15"/>
              </w:rPr>
              <w:t>Named workflow, decision, product, service, function, or control connected to the AI use case</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Impact tier</w:t>
            </w:r>
          </w:p>
        </w:tc>
        <w:tc>
          <w:tcPr>
            <w:tcW w:type="dxa" w:w="5700"/>
            <w:shd w:fill="FFFFFF"/>
            <w:vAlign w:val="top"/>
          </w:tcPr>
          <w:p>
            <w:pPr>
              <w:spacing w:after="0"/>
            </w:pPr>
            <w:r/>
            <w:r>
              <w:rPr>
                <w:rFonts w:ascii="Aptos" w:hAnsi="Aptos"/>
                <w:b w:val="0"/>
                <w:sz w:val="15"/>
              </w:rPr>
              <w:t>Low, moderate, high, critical, regulated, customer-facing, employee-impacting, financial, security, privacy, or control-impacting</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Autonomy level</w:t>
            </w:r>
          </w:p>
        </w:tc>
        <w:tc>
          <w:tcPr>
            <w:tcW w:type="dxa" w:w="5700"/>
            <w:shd w:fill="FFFFFF"/>
            <w:vAlign w:val="top"/>
          </w:tcPr>
          <w:p>
            <w:pPr>
              <w:spacing w:after="0"/>
            </w:pPr>
            <w:r/>
            <w:r>
              <w:rPr>
                <w:rFonts w:ascii="Aptos" w:hAnsi="Aptos"/>
                <w:b w:val="0"/>
                <w:sz w:val="15"/>
              </w:rPr>
              <w:t>Draft only, recommend, route, trigger, update, execute with approval, execute within guardrails, or autonomous action</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Approved sources</w:t>
            </w:r>
          </w:p>
        </w:tc>
        <w:tc>
          <w:tcPr>
            <w:tcW w:type="dxa" w:w="5700"/>
            <w:shd w:fill="FFFFFF"/>
            <w:vAlign w:val="top"/>
          </w:tcPr>
          <w:p>
            <w:pPr>
              <w:spacing w:after="0"/>
            </w:pPr>
            <w:r/>
            <w:r>
              <w:rPr>
                <w:rFonts w:ascii="Aptos" w:hAnsi="Aptos"/>
                <w:b w:val="0"/>
                <w:sz w:val="15"/>
              </w:rPr>
              <w:t>Systems, documents, dashboards, data products, APIs, and knowledge objects AI may use</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Blocked sources</w:t>
            </w:r>
          </w:p>
        </w:tc>
        <w:tc>
          <w:tcPr>
            <w:tcW w:type="dxa" w:w="5700"/>
            <w:shd w:fill="FFFFFF"/>
            <w:vAlign w:val="top"/>
          </w:tcPr>
          <w:p>
            <w:pPr>
              <w:spacing w:after="0"/>
            </w:pPr>
            <w:r/>
            <w:r>
              <w:rPr>
                <w:rFonts w:ascii="Aptos" w:hAnsi="Aptos"/>
                <w:b w:val="0"/>
                <w:sz w:val="15"/>
              </w:rPr>
              <w:t>Sensitive, stale, unapproved, private, confidential, draft, or unsupported sources AI may not use</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Allowed actions</w:t>
            </w:r>
          </w:p>
        </w:tc>
        <w:tc>
          <w:tcPr>
            <w:tcW w:type="dxa" w:w="5700"/>
            <w:shd w:fill="FFFFFF"/>
            <w:vAlign w:val="top"/>
          </w:tcPr>
          <w:p>
            <w:pPr>
              <w:spacing w:after="0"/>
            </w:pPr>
            <w:r/>
            <w:r>
              <w:rPr>
                <w:rFonts w:ascii="Aptos" w:hAnsi="Aptos"/>
                <w:b w:val="0"/>
                <w:sz w:val="15"/>
              </w:rPr>
              <w:t>What AI may retrieve, draft, summarize, score, route, trigger, update, or execute</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Blocked actions</w:t>
            </w:r>
          </w:p>
        </w:tc>
        <w:tc>
          <w:tcPr>
            <w:tcW w:type="dxa" w:w="5700"/>
            <w:shd w:fill="FFFFFF"/>
            <w:vAlign w:val="top"/>
          </w:tcPr>
          <w:p>
            <w:pPr>
              <w:spacing w:after="0"/>
            </w:pPr>
            <w:r/>
            <w:r>
              <w:rPr>
                <w:rFonts w:ascii="Aptos" w:hAnsi="Aptos"/>
                <w:b w:val="0"/>
                <w:sz w:val="15"/>
              </w:rPr>
              <w:t>What AI may not do without approval or stronger governance</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Human-in-the-loop rule</w:t>
            </w:r>
          </w:p>
        </w:tc>
        <w:tc>
          <w:tcPr>
            <w:tcW w:type="dxa" w:w="5700"/>
            <w:shd w:fill="FFFFFF"/>
            <w:vAlign w:val="top"/>
          </w:tcPr>
          <w:p>
            <w:pPr>
              <w:spacing w:after="0"/>
            </w:pPr>
            <w:r/>
            <w:r>
              <w:rPr>
                <w:rFonts w:ascii="Aptos" w:hAnsi="Aptos"/>
                <w:b w:val="0"/>
                <w:sz w:val="15"/>
              </w:rPr>
              <w:t>Reviewer, trigger, authority, evidence package, override, and escalation path</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Controls and evidence</w:t>
            </w:r>
          </w:p>
        </w:tc>
        <w:tc>
          <w:tcPr>
            <w:tcW w:type="dxa" w:w="5700"/>
            <w:shd w:fill="FFFFFF"/>
            <w:vAlign w:val="top"/>
          </w:tcPr>
          <w:p>
            <w:pPr>
              <w:spacing w:after="0"/>
            </w:pPr>
            <w:r/>
            <w:r>
              <w:rPr>
                <w:rFonts w:ascii="Aptos" w:hAnsi="Aptos"/>
                <w:b w:val="0"/>
                <w:sz w:val="15"/>
              </w:rPr>
              <w:t>Controls, logs, tests, validations, approvals, screenshots, monitoring, and audit artifacts</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Risk acceptance link</w:t>
            </w:r>
          </w:p>
        </w:tc>
        <w:tc>
          <w:tcPr>
            <w:tcW w:type="dxa" w:w="5700"/>
            <w:shd w:fill="FFFFFF"/>
            <w:vAlign w:val="top"/>
          </w:tcPr>
          <w:p>
            <w:pPr>
              <w:spacing w:after="0"/>
            </w:pPr>
            <w:r/>
            <w:r>
              <w:rPr>
                <w:rFonts w:ascii="Aptos" w:hAnsi="Aptos"/>
                <w:b w:val="0"/>
                <w:sz w:val="15"/>
              </w:rPr>
              <w:t>Risk acceptance ID or statement that no acceptance is required</w:t>
            </w:r>
          </w:p>
        </w:tc>
        <w:tc>
          <w:tcPr>
            <w:tcW w:type="dxa" w:w="1500"/>
            <w:shd w:fill="FFFFFF"/>
            <w:vAlign w:val="top"/>
          </w:tcPr>
          <w:p>
            <w:pPr>
              <w:spacing w:after="0"/>
            </w:pPr>
            <w:r/>
            <w:r>
              <w:rPr>
                <w:rFonts w:ascii="Aptos" w:hAnsi="Aptos"/>
                <w:b w:val="0"/>
                <w:sz w:val="15"/>
              </w:rPr>
              <w:t>Required for moderate and above</w:t>
            </w:r>
          </w:p>
        </w:tc>
      </w:tr>
      <w:tr>
        <w:tc>
          <w:tcPr>
            <w:tcW w:type="dxa" w:w="2500"/>
            <w:shd w:fill="F0EEE9"/>
            <w:vAlign w:val="top"/>
          </w:tcPr>
          <w:p>
            <w:pPr>
              <w:spacing w:after="0"/>
            </w:pPr>
            <w:r/>
            <w:r>
              <w:rPr>
                <w:rFonts w:ascii="Aptos" w:hAnsi="Aptos"/>
                <w:b w:val="0"/>
                <w:sz w:val="15"/>
              </w:rPr>
              <w:t>Monitoring signals</w:t>
            </w:r>
          </w:p>
        </w:tc>
        <w:tc>
          <w:tcPr>
            <w:tcW w:type="dxa" w:w="5700"/>
            <w:shd w:fill="FFFFFF"/>
            <w:vAlign w:val="top"/>
          </w:tcPr>
          <w:p>
            <w:pPr>
              <w:spacing w:after="0"/>
            </w:pPr>
            <w:r/>
            <w:r>
              <w:rPr>
                <w:rFonts w:ascii="Aptos" w:hAnsi="Aptos"/>
                <w:b w:val="0"/>
                <w:sz w:val="15"/>
              </w:rPr>
              <w:t>Quality, drift, incidents, usage, adoption, value, rejection, override, and control-failure signals</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Lifecycle status</w:t>
            </w:r>
          </w:p>
        </w:tc>
        <w:tc>
          <w:tcPr>
            <w:tcW w:type="dxa" w:w="5700"/>
            <w:shd w:fill="FFFFFF"/>
            <w:vAlign w:val="top"/>
          </w:tcPr>
          <w:p>
            <w:pPr>
              <w:spacing w:after="0"/>
            </w:pPr>
            <w:r/>
            <w:r>
              <w:rPr>
                <w:rFonts w:ascii="Aptos" w:hAnsi="Aptos"/>
                <w:b w:val="0"/>
                <w:sz w:val="15"/>
              </w:rPr>
              <w:t>Idea, intake, discovery, design, pilot, limited release, production, scaled, restricted, paused, retired, or superseded</w:t>
            </w:r>
          </w:p>
        </w:tc>
        <w:tc>
          <w:tcPr>
            <w:tcW w:type="dxa" w:w="1500"/>
            <w:shd w:fill="FFFFFF"/>
            <w:vAlign w:val="top"/>
          </w:tcPr>
          <w:p>
            <w:pPr>
              <w:spacing w:after="0"/>
            </w:pPr>
            <w:r/>
            <w:r>
              <w:rPr>
                <w:rFonts w:ascii="Aptos" w:hAnsi="Aptos"/>
                <w:b w:val="0"/>
                <w:sz w:val="15"/>
              </w:rPr>
              <w:t>Yes</w:t>
            </w:r>
          </w:p>
        </w:tc>
      </w:tr>
      <w:tr>
        <w:tc>
          <w:tcPr>
            <w:tcW w:type="dxa" w:w="2500"/>
            <w:shd w:fill="F0EEE9"/>
            <w:vAlign w:val="top"/>
          </w:tcPr>
          <w:p>
            <w:pPr>
              <w:spacing w:after="0"/>
            </w:pPr>
            <w:r/>
            <w:r>
              <w:rPr>
                <w:rFonts w:ascii="Aptos" w:hAnsi="Aptos"/>
                <w:b w:val="0"/>
                <w:sz w:val="15"/>
              </w:rPr>
              <w:t>Review cadence</w:t>
            </w:r>
          </w:p>
        </w:tc>
        <w:tc>
          <w:tcPr>
            <w:tcW w:type="dxa" w:w="5700"/>
            <w:shd w:fill="FFFFFF"/>
            <w:vAlign w:val="top"/>
          </w:tcPr>
          <w:p>
            <w:pPr>
              <w:spacing w:after="0"/>
            </w:pPr>
            <w:r/>
            <w:r>
              <w:rPr>
                <w:rFonts w:ascii="Aptos" w:hAnsi="Aptos"/>
                <w:b w:val="0"/>
                <w:sz w:val="15"/>
              </w:rPr>
              <w:t>Weekly, monthly, quarterly, release-based, incident-based, source-change, model-change, or policy-change based</w:t>
            </w:r>
          </w:p>
        </w:tc>
        <w:tc>
          <w:tcPr>
            <w:tcW w:type="dxa" w:w="1500"/>
            <w:shd w:fill="FFFFFF"/>
            <w:vAlign w:val="top"/>
          </w:tcPr>
          <w:p>
            <w:pPr>
              <w:spacing w:after="0"/>
            </w:pPr>
            <w:r/>
            <w:r>
              <w:rPr>
                <w:rFonts w:ascii="Aptos" w:hAnsi="Aptos"/>
                <w:b w:val="0"/>
                <w:sz w:val="15"/>
              </w:rPr>
              <w:t>Yes</w:t>
            </w:r>
          </w:p>
        </w:tc>
      </w:tr>
    </w:tbl>
    <w:p/>
    <w:p>
      <w:pPr>
        <w:pStyle w:val="Heading1"/>
      </w:pPr>
      <w:r>
        <w:t>4. Lifecycle states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1800"/>
            <w:shd w:fill="2D3924"/>
            <w:vAlign w:val="center"/>
          </w:tcPr>
          <w:p>
            <w:pPr>
              <w:spacing w:after="0"/>
            </w:pPr>
            <w:r/>
            <w:r>
              <w:rPr>
                <w:rFonts w:ascii="Aptos" w:hAnsi="Aptos"/>
                <w:b/>
                <w:color w:val="FFFFFF"/>
                <w:sz w:val="15"/>
              </w:rPr>
              <w:t>Status</w:t>
            </w:r>
          </w:p>
        </w:tc>
        <w:tc>
          <w:tcPr>
            <w:tcW w:type="dxa" w:w="3500"/>
            <w:shd w:fill="2D3924"/>
            <w:vAlign w:val="center"/>
          </w:tcPr>
          <w:p>
            <w:pPr>
              <w:spacing w:after="0"/>
            </w:pPr>
            <w:r/>
            <w:r>
              <w:rPr>
                <w:rFonts w:ascii="Aptos" w:hAnsi="Aptos"/>
                <w:b/>
                <w:color w:val="FFFFFF"/>
                <w:sz w:val="15"/>
              </w:rPr>
              <w:t>Meaning</w:t>
            </w:r>
          </w:p>
        </w:tc>
        <w:tc>
          <w:tcPr>
            <w:tcW w:type="dxa" w:w="4300"/>
            <w:shd w:fill="2D3924"/>
            <w:vAlign w:val="center"/>
          </w:tcPr>
          <w:p>
            <w:pPr>
              <w:spacing w:after="0"/>
            </w:pPr>
            <w:r/>
            <w:r>
              <w:rPr>
                <w:rFonts w:ascii="Aptos" w:hAnsi="Aptos"/>
                <w:b/>
                <w:color w:val="FFFFFF"/>
                <w:sz w:val="15"/>
              </w:rPr>
              <w:t>Governance requirement</w:t>
            </w:r>
          </w:p>
        </w:tc>
      </w:tr>
      <w:tr>
        <w:tc>
          <w:tcPr>
            <w:tcW w:type="dxa" w:w="1800"/>
            <w:shd w:fill="F0EEE9"/>
            <w:vAlign w:val="top"/>
          </w:tcPr>
          <w:p>
            <w:pPr>
              <w:spacing w:after="0"/>
            </w:pPr>
            <w:r/>
            <w:r>
              <w:rPr>
                <w:rFonts w:ascii="Aptos" w:hAnsi="Aptos"/>
                <w:b w:val="0"/>
                <w:sz w:val="15"/>
              </w:rPr>
              <w:t>Idea</w:t>
            </w:r>
          </w:p>
        </w:tc>
        <w:tc>
          <w:tcPr>
            <w:tcW w:type="dxa" w:w="3500"/>
            <w:shd w:fill="FFFFFF"/>
            <w:vAlign w:val="top"/>
          </w:tcPr>
          <w:p>
            <w:pPr>
              <w:spacing w:after="0"/>
            </w:pPr>
            <w:r/>
            <w:r>
              <w:rPr>
                <w:rFonts w:ascii="Aptos" w:hAnsi="Aptos"/>
                <w:b w:val="0"/>
                <w:sz w:val="15"/>
              </w:rPr>
              <w:t>Potential AI opportunity is visible but not yet assessed</w:t>
            </w:r>
          </w:p>
        </w:tc>
        <w:tc>
          <w:tcPr>
            <w:tcW w:type="dxa" w:w="4300"/>
            <w:shd w:fill="FFFFFF"/>
            <w:vAlign w:val="top"/>
          </w:tcPr>
          <w:p>
            <w:pPr>
              <w:spacing w:after="0"/>
            </w:pPr>
            <w:r/>
            <w:r>
              <w:rPr>
                <w:rFonts w:ascii="Aptos" w:hAnsi="Aptos"/>
                <w:b w:val="0"/>
                <w:sz w:val="15"/>
              </w:rPr>
              <w:t>Log owner, purpose, expected workflow, and initial risk guess</w:t>
            </w:r>
          </w:p>
        </w:tc>
      </w:tr>
      <w:tr>
        <w:tc>
          <w:tcPr>
            <w:tcW w:type="dxa" w:w="1800"/>
            <w:shd w:fill="F0EEE9"/>
            <w:vAlign w:val="top"/>
          </w:tcPr>
          <w:p>
            <w:pPr>
              <w:spacing w:after="0"/>
            </w:pPr>
            <w:r/>
            <w:r>
              <w:rPr>
                <w:rFonts w:ascii="Aptos" w:hAnsi="Aptos"/>
                <w:b w:val="0"/>
                <w:sz w:val="15"/>
              </w:rPr>
              <w:t>Intake</w:t>
            </w:r>
          </w:p>
        </w:tc>
        <w:tc>
          <w:tcPr>
            <w:tcW w:type="dxa" w:w="3500"/>
            <w:shd w:fill="FFFFFF"/>
            <w:vAlign w:val="top"/>
          </w:tcPr>
          <w:p>
            <w:pPr>
              <w:spacing w:after="0"/>
            </w:pPr>
            <w:r/>
            <w:r>
              <w:rPr>
                <w:rFonts w:ascii="Aptos" w:hAnsi="Aptos"/>
                <w:b w:val="0"/>
                <w:sz w:val="15"/>
              </w:rPr>
              <w:t>Use case submitted for evaluation</w:t>
            </w:r>
          </w:p>
        </w:tc>
        <w:tc>
          <w:tcPr>
            <w:tcW w:type="dxa" w:w="4300"/>
            <w:shd w:fill="FFFFFF"/>
            <w:vAlign w:val="top"/>
          </w:tcPr>
          <w:p>
            <w:pPr>
              <w:spacing w:after="0"/>
            </w:pPr>
            <w:r/>
            <w:r>
              <w:rPr>
                <w:rFonts w:ascii="Aptos" w:hAnsi="Aptos"/>
                <w:b w:val="0"/>
                <w:sz w:val="15"/>
              </w:rPr>
              <w:t>Validate business owner, AI type, data boundary, and expected value</w:t>
            </w:r>
          </w:p>
        </w:tc>
      </w:tr>
      <w:tr>
        <w:tc>
          <w:tcPr>
            <w:tcW w:type="dxa" w:w="1800"/>
            <w:shd w:fill="F0EEE9"/>
            <w:vAlign w:val="top"/>
          </w:tcPr>
          <w:p>
            <w:pPr>
              <w:spacing w:after="0"/>
            </w:pPr>
            <w:r/>
            <w:r>
              <w:rPr>
                <w:rFonts w:ascii="Aptos" w:hAnsi="Aptos"/>
                <w:b w:val="0"/>
                <w:sz w:val="15"/>
              </w:rPr>
              <w:t>Discovery</w:t>
            </w:r>
          </w:p>
        </w:tc>
        <w:tc>
          <w:tcPr>
            <w:tcW w:type="dxa" w:w="3500"/>
            <w:shd w:fill="FFFFFF"/>
            <w:vAlign w:val="top"/>
          </w:tcPr>
          <w:p>
            <w:pPr>
              <w:spacing w:after="0"/>
            </w:pPr>
            <w:r/>
            <w:r>
              <w:rPr>
                <w:rFonts w:ascii="Aptos" w:hAnsi="Aptos"/>
                <w:b w:val="0"/>
                <w:sz w:val="15"/>
              </w:rPr>
              <w:t>Feasibility and risk are being assessed</w:t>
            </w:r>
          </w:p>
        </w:tc>
        <w:tc>
          <w:tcPr>
            <w:tcW w:type="dxa" w:w="4300"/>
            <w:shd w:fill="FFFFFF"/>
            <w:vAlign w:val="top"/>
          </w:tcPr>
          <w:p>
            <w:pPr>
              <w:spacing w:after="0"/>
            </w:pPr>
            <w:r/>
            <w:r>
              <w:rPr>
                <w:rFonts w:ascii="Aptos" w:hAnsi="Aptos"/>
                <w:b w:val="0"/>
                <w:sz w:val="15"/>
              </w:rPr>
              <w:t>Map sources, decision rights, control needs, and human review rules</w:t>
            </w:r>
          </w:p>
        </w:tc>
      </w:tr>
      <w:tr>
        <w:tc>
          <w:tcPr>
            <w:tcW w:type="dxa" w:w="1800"/>
            <w:shd w:fill="F0EEE9"/>
            <w:vAlign w:val="top"/>
          </w:tcPr>
          <w:p>
            <w:pPr>
              <w:spacing w:after="0"/>
            </w:pPr>
            <w:r/>
            <w:r>
              <w:rPr>
                <w:rFonts w:ascii="Aptos" w:hAnsi="Aptos"/>
                <w:b w:val="0"/>
                <w:sz w:val="15"/>
              </w:rPr>
              <w:t>Design</w:t>
            </w:r>
          </w:p>
        </w:tc>
        <w:tc>
          <w:tcPr>
            <w:tcW w:type="dxa" w:w="3500"/>
            <w:shd w:fill="FFFFFF"/>
            <w:vAlign w:val="top"/>
          </w:tcPr>
          <w:p>
            <w:pPr>
              <w:spacing w:after="0"/>
            </w:pPr>
            <w:r/>
            <w:r>
              <w:rPr>
                <w:rFonts w:ascii="Aptos" w:hAnsi="Aptos"/>
                <w:b w:val="0"/>
                <w:sz w:val="15"/>
              </w:rPr>
              <w:t>Operating model and technical path are being defined</w:t>
            </w:r>
          </w:p>
        </w:tc>
        <w:tc>
          <w:tcPr>
            <w:tcW w:type="dxa" w:w="4300"/>
            <w:shd w:fill="FFFFFF"/>
            <w:vAlign w:val="top"/>
          </w:tcPr>
          <w:p>
            <w:pPr>
              <w:spacing w:after="0"/>
            </w:pPr>
            <w:r/>
            <w:r>
              <w:rPr>
                <w:rFonts w:ascii="Aptos" w:hAnsi="Aptos"/>
                <w:b w:val="0"/>
                <w:sz w:val="15"/>
              </w:rPr>
              <w:t>Define permissions, controls, monitoring, evidence, escalation, and launch criteria</w:t>
            </w:r>
          </w:p>
        </w:tc>
      </w:tr>
      <w:tr>
        <w:tc>
          <w:tcPr>
            <w:tcW w:type="dxa" w:w="1800"/>
            <w:shd w:fill="F0EEE9"/>
            <w:vAlign w:val="top"/>
          </w:tcPr>
          <w:p>
            <w:pPr>
              <w:spacing w:after="0"/>
            </w:pPr>
            <w:r/>
            <w:r>
              <w:rPr>
                <w:rFonts w:ascii="Aptos" w:hAnsi="Aptos"/>
                <w:b w:val="0"/>
                <w:sz w:val="15"/>
              </w:rPr>
              <w:t>Pilot</w:t>
            </w:r>
          </w:p>
        </w:tc>
        <w:tc>
          <w:tcPr>
            <w:tcW w:type="dxa" w:w="3500"/>
            <w:shd w:fill="FFFFFF"/>
            <w:vAlign w:val="top"/>
          </w:tcPr>
          <w:p>
            <w:pPr>
              <w:spacing w:after="0"/>
            </w:pPr>
            <w:r/>
            <w:r>
              <w:rPr>
                <w:rFonts w:ascii="Aptos" w:hAnsi="Aptos"/>
                <w:b w:val="0"/>
                <w:sz w:val="15"/>
              </w:rPr>
              <w:t>Limited test with restricted users, sources, and actions</w:t>
            </w:r>
          </w:p>
        </w:tc>
        <w:tc>
          <w:tcPr>
            <w:tcW w:type="dxa" w:w="4300"/>
            <w:shd w:fill="FFFFFF"/>
            <w:vAlign w:val="top"/>
          </w:tcPr>
          <w:p>
            <w:pPr>
              <w:spacing w:after="0"/>
            </w:pPr>
            <w:r/>
            <w:r>
              <w:rPr>
                <w:rFonts w:ascii="Aptos" w:hAnsi="Aptos"/>
                <w:b w:val="0"/>
                <w:sz w:val="15"/>
              </w:rPr>
              <w:t>Track outcomes, incidents, failure modes, review burden, and evidence quality</w:t>
            </w:r>
          </w:p>
        </w:tc>
      </w:tr>
      <w:tr>
        <w:tc>
          <w:tcPr>
            <w:tcW w:type="dxa" w:w="1800"/>
            <w:shd w:fill="F0EEE9"/>
            <w:vAlign w:val="top"/>
          </w:tcPr>
          <w:p>
            <w:pPr>
              <w:spacing w:after="0"/>
            </w:pPr>
            <w:r/>
            <w:r>
              <w:rPr>
                <w:rFonts w:ascii="Aptos" w:hAnsi="Aptos"/>
                <w:b w:val="0"/>
                <w:sz w:val="15"/>
              </w:rPr>
              <w:t>Limited release</w:t>
            </w:r>
          </w:p>
        </w:tc>
        <w:tc>
          <w:tcPr>
            <w:tcW w:type="dxa" w:w="3500"/>
            <w:shd w:fill="FFFFFF"/>
            <w:vAlign w:val="top"/>
          </w:tcPr>
          <w:p>
            <w:pPr>
              <w:spacing w:after="0"/>
            </w:pPr>
            <w:r/>
            <w:r>
              <w:rPr>
                <w:rFonts w:ascii="Aptos" w:hAnsi="Aptos"/>
                <w:b w:val="0"/>
                <w:sz w:val="15"/>
              </w:rPr>
              <w:t>Controlled production use with narrow scope</w:t>
            </w:r>
          </w:p>
        </w:tc>
        <w:tc>
          <w:tcPr>
            <w:tcW w:type="dxa" w:w="4300"/>
            <w:shd w:fill="FFFFFF"/>
            <w:vAlign w:val="top"/>
          </w:tcPr>
          <w:p>
            <w:pPr>
              <w:spacing w:after="0"/>
            </w:pPr>
            <w:r/>
            <w:r>
              <w:rPr>
                <w:rFonts w:ascii="Aptos" w:hAnsi="Aptos"/>
                <w:b w:val="0"/>
                <w:sz w:val="15"/>
              </w:rPr>
              <w:t>Confirm controls, owner review, monitoring, data boundaries, and support model</w:t>
            </w:r>
          </w:p>
        </w:tc>
      </w:tr>
      <w:tr>
        <w:tc>
          <w:tcPr>
            <w:tcW w:type="dxa" w:w="1800"/>
            <w:shd w:fill="F0EEE9"/>
            <w:vAlign w:val="top"/>
          </w:tcPr>
          <w:p>
            <w:pPr>
              <w:spacing w:after="0"/>
            </w:pPr>
            <w:r/>
            <w:r>
              <w:rPr>
                <w:rFonts w:ascii="Aptos" w:hAnsi="Aptos"/>
                <w:b w:val="0"/>
                <w:sz w:val="15"/>
              </w:rPr>
              <w:t>Production</w:t>
            </w:r>
          </w:p>
        </w:tc>
        <w:tc>
          <w:tcPr>
            <w:tcW w:type="dxa" w:w="3500"/>
            <w:shd w:fill="FFFFFF"/>
            <w:vAlign w:val="top"/>
          </w:tcPr>
          <w:p>
            <w:pPr>
              <w:spacing w:after="0"/>
            </w:pPr>
            <w:r/>
            <w:r>
              <w:rPr>
                <w:rFonts w:ascii="Aptos" w:hAnsi="Aptos"/>
                <w:b w:val="0"/>
                <w:sz w:val="15"/>
              </w:rPr>
              <w:t>Operational use case becomes part of real work</w:t>
            </w:r>
          </w:p>
        </w:tc>
        <w:tc>
          <w:tcPr>
            <w:tcW w:type="dxa" w:w="4300"/>
            <w:shd w:fill="FFFFFF"/>
            <w:vAlign w:val="top"/>
          </w:tcPr>
          <w:p>
            <w:pPr>
              <w:spacing w:after="0"/>
            </w:pPr>
            <w:r/>
            <w:r>
              <w:rPr>
                <w:rFonts w:ascii="Aptos" w:hAnsi="Aptos"/>
                <w:b w:val="0"/>
                <w:sz w:val="15"/>
              </w:rPr>
              <w:t>Run recurring governance review and maintain logs, value, risk, and control evidence</w:t>
            </w:r>
          </w:p>
        </w:tc>
      </w:tr>
      <w:tr>
        <w:tc>
          <w:tcPr>
            <w:tcW w:type="dxa" w:w="1800"/>
            <w:shd w:fill="F0EEE9"/>
            <w:vAlign w:val="top"/>
          </w:tcPr>
          <w:p>
            <w:pPr>
              <w:spacing w:after="0"/>
            </w:pPr>
            <w:r/>
            <w:r>
              <w:rPr>
                <w:rFonts w:ascii="Aptos" w:hAnsi="Aptos"/>
                <w:b w:val="0"/>
                <w:sz w:val="15"/>
              </w:rPr>
              <w:t>Scaled</w:t>
            </w:r>
          </w:p>
        </w:tc>
        <w:tc>
          <w:tcPr>
            <w:tcW w:type="dxa" w:w="3500"/>
            <w:shd w:fill="FFFFFF"/>
            <w:vAlign w:val="top"/>
          </w:tcPr>
          <w:p>
            <w:pPr>
              <w:spacing w:after="0"/>
            </w:pPr>
            <w:r/>
            <w:r>
              <w:rPr>
                <w:rFonts w:ascii="Aptos" w:hAnsi="Aptos"/>
                <w:b w:val="0"/>
                <w:sz w:val="15"/>
              </w:rPr>
              <w:t>Use case expands across functions, regions, workflows, or systems</w:t>
            </w:r>
          </w:p>
        </w:tc>
        <w:tc>
          <w:tcPr>
            <w:tcW w:type="dxa" w:w="4300"/>
            <w:shd w:fill="FFFFFF"/>
            <w:vAlign w:val="top"/>
          </w:tcPr>
          <w:p>
            <w:pPr>
              <w:spacing w:after="0"/>
            </w:pPr>
            <w:r/>
            <w:r>
              <w:rPr>
                <w:rFonts w:ascii="Aptos" w:hAnsi="Aptos"/>
                <w:b w:val="0"/>
                <w:sz w:val="15"/>
              </w:rPr>
              <w:t>Reassess ownership, decision rights, integration risk, and governance capacity</w:t>
            </w:r>
          </w:p>
        </w:tc>
      </w:tr>
      <w:tr>
        <w:tc>
          <w:tcPr>
            <w:tcW w:type="dxa" w:w="1800"/>
            <w:shd w:fill="F0EEE9"/>
            <w:vAlign w:val="top"/>
          </w:tcPr>
          <w:p>
            <w:pPr>
              <w:spacing w:after="0"/>
            </w:pPr>
            <w:r/>
            <w:r>
              <w:rPr>
                <w:rFonts w:ascii="Aptos" w:hAnsi="Aptos"/>
                <w:b w:val="0"/>
                <w:sz w:val="15"/>
              </w:rPr>
              <w:t>Restricted or paused</w:t>
            </w:r>
          </w:p>
        </w:tc>
        <w:tc>
          <w:tcPr>
            <w:tcW w:type="dxa" w:w="3500"/>
            <w:shd w:fill="FFFFFF"/>
            <w:vAlign w:val="top"/>
          </w:tcPr>
          <w:p>
            <w:pPr>
              <w:spacing w:after="0"/>
            </w:pPr>
            <w:r/>
            <w:r>
              <w:rPr>
                <w:rFonts w:ascii="Aptos" w:hAnsi="Aptos"/>
                <w:b w:val="0"/>
                <w:sz w:val="15"/>
              </w:rPr>
              <w:t>Use case is limited due to risk, failure, stale data, incidents, or control weakness</w:t>
            </w:r>
          </w:p>
        </w:tc>
        <w:tc>
          <w:tcPr>
            <w:tcW w:type="dxa" w:w="4300"/>
            <w:shd w:fill="FFFFFF"/>
            <w:vAlign w:val="top"/>
          </w:tcPr>
          <w:p>
            <w:pPr>
              <w:spacing w:after="0"/>
            </w:pPr>
            <w:r/>
            <w:r>
              <w:rPr>
                <w:rFonts w:ascii="Aptos" w:hAnsi="Aptos"/>
                <w:b w:val="0"/>
                <w:sz w:val="15"/>
              </w:rPr>
              <w:t>Document reason, owner, remediation, risk acceptance, and restart criteria</w:t>
            </w:r>
          </w:p>
        </w:tc>
      </w:tr>
      <w:tr>
        <w:tc>
          <w:tcPr>
            <w:tcW w:type="dxa" w:w="1800"/>
            <w:shd w:fill="F0EEE9"/>
            <w:vAlign w:val="top"/>
          </w:tcPr>
          <w:p>
            <w:pPr>
              <w:spacing w:after="0"/>
            </w:pPr>
            <w:r/>
            <w:r>
              <w:rPr>
                <w:rFonts w:ascii="Aptos" w:hAnsi="Aptos"/>
                <w:b w:val="0"/>
                <w:sz w:val="15"/>
              </w:rPr>
              <w:t>Retired or superseded</w:t>
            </w:r>
          </w:p>
        </w:tc>
        <w:tc>
          <w:tcPr>
            <w:tcW w:type="dxa" w:w="3500"/>
            <w:shd w:fill="FFFFFF"/>
            <w:vAlign w:val="top"/>
          </w:tcPr>
          <w:p>
            <w:pPr>
              <w:spacing w:after="0"/>
            </w:pPr>
            <w:r/>
            <w:r>
              <w:rPr>
                <w:rFonts w:ascii="Aptos" w:hAnsi="Aptos"/>
                <w:b w:val="0"/>
                <w:sz w:val="15"/>
              </w:rPr>
              <w:t>Use case is removed or replaced</w:t>
            </w:r>
          </w:p>
        </w:tc>
        <w:tc>
          <w:tcPr>
            <w:tcW w:type="dxa" w:w="4300"/>
            <w:shd w:fill="FFFFFF"/>
            <w:vAlign w:val="top"/>
          </w:tcPr>
          <w:p>
            <w:pPr>
              <w:spacing w:after="0"/>
            </w:pPr>
            <w:r/>
            <w:r>
              <w:rPr>
                <w:rFonts w:ascii="Aptos" w:hAnsi="Aptos"/>
                <w:b w:val="0"/>
                <w:sz w:val="15"/>
              </w:rPr>
              <w:t>Record successor, archival evidence, deleted access, and communication plan</w:t>
            </w:r>
          </w:p>
        </w:tc>
      </w:tr>
    </w:tbl>
    <w:p/>
    <w:p>
      <w:pPr>
        <w:pStyle w:val="Heading1"/>
      </w:pPr>
      <w:r>
        <w:t>5. Classification model</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000"/>
            <w:shd w:fill="2D3924"/>
            <w:vAlign w:val="center"/>
          </w:tcPr>
          <w:p>
            <w:pPr>
              <w:spacing w:after="0"/>
            </w:pPr>
            <w:r/>
            <w:r>
              <w:rPr>
                <w:rFonts w:ascii="Aptos" w:hAnsi="Aptos"/>
                <w:b/>
                <w:color w:val="FFFFFF"/>
                <w:sz w:val="15"/>
              </w:rPr>
              <w:t>Dimension</w:t>
            </w:r>
          </w:p>
        </w:tc>
        <w:tc>
          <w:tcPr>
            <w:tcW w:type="dxa" w:w="2500"/>
            <w:shd w:fill="2D3924"/>
            <w:vAlign w:val="center"/>
          </w:tcPr>
          <w:p>
            <w:pPr>
              <w:spacing w:after="0"/>
            </w:pPr>
            <w:r/>
            <w:r>
              <w:rPr>
                <w:rFonts w:ascii="Aptos" w:hAnsi="Aptos"/>
                <w:b/>
                <w:color w:val="FFFFFF"/>
                <w:sz w:val="15"/>
              </w:rPr>
              <w:t>Question</w:t>
            </w:r>
          </w:p>
        </w:tc>
        <w:tc>
          <w:tcPr>
            <w:tcW w:type="dxa" w:w="5100"/>
            <w:shd w:fill="2D3924"/>
            <w:vAlign w:val="center"/>
          </w:tcPr>
          <w:p>
            <w:pPr>
              <w:spacing w:after="0"/>
            </w:pPr>
            <w:r/>
            <w:r>
              <w:rPr>
                <w:rFonts w:ascii="Aptos" w:hAnsi="Aptos"/>
                <w:b/>
                <w:color w:val="FFFFFF"/>
                <w:sz w:val="15"/>
              </w:rPr>
              <w:t>Examples</w:t>
            </w:r>
          </w:p>
        </w:tc>
      </w:tr>
      <w:tr>
        <w:tc>
          <w:tcPr>
            <w:tcW w:type="dxa" w:w="2000"/>
            <w:shd w:fill="F0EEE9"/>
            <w:vAlign w:val="top"/>
          </w:tcPr>
          <w:p>
            <w:pPr>
              <w:spacing w:after="0"/>
            </w:pPr>
            <w:r/>
            <w:r>
              <w:rPr>
                <w:rFonts w:ascii="Aptos" w:hAnsi="Aptos"/>
                <w:b w:val="0"/>
                <w:sz w:val="15"/>
              </w:rPr>
              <w:t>Impact tier</w:t>
            </w:r>
          </w:p>
        </w:tc>
        <w:tc>
          <w:tcPr>
            <w:tcW w:type="dxa" w:w="2500"/>
            <w:shd w:fill="FFFFFF"/>
            <w:vAlign w:val="top"/>
          </w:tcPr>
          <w:p>
            <w:pPr>
              <w:spacing w:after="0"/>
            </w:pPr>
            <w:r/>
            <w:r>
              <w:rPr>
                <w:rFonts w:ascii="Aptos" w:hAnsi="Aptos"/>
                <w:b w:val="0"/>
                <w:sz w:val="15"/>
              </w:rPr>
              <w:t>What could be affected?</w:t>
            </w:r>
          </w:p>
        </w:tc>
        <w:tc>
          <w:tcPr>
            <w:tcW w:type="dxa" w:w="5100"/>
            <w:shd w:fill="FFFFFF"/>
            <w:vAlign w:val="top"/>
          </w:tcPr>
          <w:p>
            <w:pPr>
              <w:spacing w:after="0"/>
            </w:pPr>
            <w:r/>
            <w:r>
              <w:rPr>
                <w:rFonts w:ascii="Aptos" w:hAnsi="Aptos"/>
                <w:b w:val="0"/>
                <w:sz w:val="15"/>
              </w:rPr>
              <w:t>Customer, employee, financial, operational, compliance, security, privacy, reputation, control, or executive decision impact</w:t>
            </w:r>
          </w:p>
        </w:tc>
      </w:tr>
      <w:tr>
        <w:tc>
          <w:tcPr>
            <w:tcW w:type="dxa" w:w="2000"/>
            <w:shd w:fill="F0EEE9"/>
            <w:vAlign w:val="top"/>
          </w:tcPr>
          <w:p>
            <w:pPr>
              <w:spacing w:after="0"/>
            </w:pPr>
            <w:r/>
            <w:r>
              <w:rPr>
                <w:rFonts w:ascii="Aptos" w:hAnsi="Aptos"/>
                <w:b w:val="0"/>
                <w:sz w:val="15"/>
              </w:rPr>
              <w:t>Autonomy level</w:t>
            </w:r>
          </w:p>
        </w:tc>
        <w:tc>
          <w:tcPr>
            <w:tcW w:type="dxa" w:w="2500"/>
            <w:shd w:fill="FFFFFF"/>
            <w:vAlign w:val="top"/>
          </w:tcPr>
          <w:p>
            <w:pPr>
              <w:spacing w:after="0"/>
            </w:pPr>
            <w:r/>
            <w:r>
              <w:rPr>
                <w:rFonts w:ascii="Aptos" w:hAnsi="Aptos"/>
                <w:b w:val="0"/>
                <w:sz w:val="15"/>
              </w:rPr>
              <w:t>What can AI do?</w:t>
            </w:r>
          </w:p>
        </w:tc>
        <w:tc>
          <w:tcPr>
            <w:tcW w:type="dxa" w:w="5100"/>
            <w:shd w:fill="FFFFFF"/>
            <w:vAlign w:val="top"/>
          </w:tcPr>
          <w:p>
            <w:pPr>
              <w:spacing w:after="0"/>
            </w:pPr>
            <w:r/>
            <w:r>
              <w:rPr>
                <w:rFonts w:ascii="Aptos" w:hAnsi="Aptos"/>
                <w:b w:val="0"/>
                <w:sz w:val="15"/>
              </w:rPr>
              <w:t>Retrieve, summarize, draft, recommend, score, route, trigger, update, execute, communicate, or act autonomously</w:t>
            </w:r>
          </w:p>
        </w:tc>
      </w:tr>
      <w:tr>
        <w:tc>
          <w:tcPr>
            <w:tcW w:type="dxa" w:w="2000"/>
            <w:shd w:fill="F0EEE9"/>
            <w:vAlign w:val="top"/>
          </w:tcPr>
          <w:p>
            <w:pPr>
              <w:spacing w:after="0"/>
            </w:pPr>
            <w:r/>
            <w:r>
              <w:rPr>
                <w:rFonts w:ascii="Aptos" w:hAnsi="Aptos"/>
                <w:b w:val="0"/>
                <w:sz w:val="15"/>
              </w:rPr>
              <w:t>Data sensitivity</w:t>
            </w:r>
          </w:p>
        </w:tc>
        <w:tc>
          <w:tcPr>
            <w:tcW w:type="dxa" w:w="2500"/>
            <w:shd w:fill="FFFFFF"/>
            <w:vAlign w:val="top"/>
          </w:tcPr>
          <w:p>
            <w:pPr>
              <w:spacing w:after="0"/>
            </w:pPr>
            <w:r/>
            <w:r>
              <w:rPr>
                <w:rFonts w:ascii="Aptos" w:hAnsi="Aptos"/>
                <w:b w:val="0"/>
                <w:sz w:val="15"/>
              </w:rPr>
              <w:t>What does AI use?</w:t>
            </w:r>
          </w:p>
        </w:tc>
        <w:tc>
          <w:tcPr>
            <w:tcW w:type="dxa" w:w="5100"/>
            <w:shd w:fill="FFFFFF"/>
            <w:vAlign w:val="top"/>
          </w:tcPr>
          <w:p>
            <w:pPr>
              <w:spacing w:after="0"/>
            </w:pPr>
            <w:r/>
            <w:r>
              <w:rPr>
                <w:rFonts w:ascii="Aptos" w:hAnsi="Aptos"/>
                <w:b w:val="0"/>
                <w:sz w:val="15"/>
              </w:rPr>
              <w:t>Public, internal, confidential, regulated, personal, financial, HR, customer, security, source code, legal, or privileged data</w:t>
            </w:r>
          </w:p>
        </w:tc>
      </w:tr>
      <w:tr>
        <w:tc>
          <w:tcPr>
            <w:tcW w:type="dxa" w:w="2000"/>
            <w:shd w:fill="F0EEE9"/>
            <w:vAlign w:val="top"/>
          </w:tcPr>
          <w:p>
            <w:pPr>
              <w:spacing w:after="0"/>
            </w:pPr>
            <w:r/>
            <w:r>
              <w:rPr>
                <w:rFonts w:ascii="Aptos" w:hAnsi="Aptos"/>
                <w:b w:val="0"/>
                <w:sz w:val="15"/>
              </w:rPr>
              <w:t>Decision influence</w:t>
            </w:r>
          </w:p>
        </w:tc>
        <w:tc>
          <w:tcPr>
            <w:tcW w:type="dxa" w:w="2500"/>
            <w:shd w:fill="FFFFFF"/>
            <w:vAlign w:val="top"/>
          </w:tcPr>
          <w:p>
            <w:pPr>
              <w:spacing w:after="0"/>
            </w:pPr>
            <w:r/>
            <w:r>
              <w:rPr>
                <w:rFonts w:ascii="Aptos" w:hAnsi="Aptos"/>
                <w:b w:val="0"/>
                <w:sz w:val="15"/>
              </w:rPr>
              <w:t>Does AI shape a decision?</w:t>
            </w:r>
          </w:p>
        </w:tc>
        <w:tc>
          <w:tcPr>
            <w:tcW w:type="dxa" w:w="5100"/>
            <w:shd w:fill="FFFFFF"/>
            <w:vAlign w:val="top"/>
          </w:tcPr>
          <w:p>
            <w:pPr>
              <w:spacing w:after="0"/>
            </w:pPr>
            <w:r/>
            <w:r>
              <w:rPr>
                <w:rFonts w:ascii="Aptos" w:hAnsi="Aptos"/>
                <w:b w:val="0"/>
                <w:sz w:val="15"/>
              </w:rPr>
              <w:t>No decision, low-risk recommendation, material decision support, approval workflow, regulated decision, or executive decision</w:t>
            </w:r>
          </w:p>
        </w:tc>
      </w:tr>
      <w:tr>
        <w:tc>
          <w:tcPr>
            <w:tcW w:type="dxa" w:w="2000"/>
            <w:shd w:fill="F0EEE9"/>
            <w:vAlign w:val="top"/>
          </w:tcPr>
          <w:p>
            <w:pPr>
              <w:spacing w:after="0"/>
            </w:pPr>
            <w:r/>
            <w:r>
              <w:rPr>
                <w:rFonts w:ascii="Aptos" w:hAnsi="Aptos"/>
                <w:b w:val="0"/>
                <w:sz w:val="15"/>
              </w:rPr>
              <w:t>System access</w:t>
            </w:r>
          </w:p>
        </w:tc>
        <w:tc>
          <w:tcPr>
            <w:tcW w:type="dxa" w:w="2500"/>
            <w:shd w:fill="FFFFFF"/>
            <w:vAlign w:val="top"/>
          </w:tcPr>
          <w:p>
            <w:pPr>
              <w:spacing w:after="0"/>
            </w:pPr>
            <w:r/>
            <w:r>
              <w:rPr>
                <w:rFonts w:ascii="Aptos" w:hAnsi="Aptos"/>
                <w:b w:val="0"/>
                <w:sz w:val="15"/>
              </w:rPr>
              <w:t>Can AI touch systems?</w:t>
            </w:r>
          </w:p>
        </w:tc>
        <w:tc>
          <w:tcPr>
            <w:tcW w:type="dxa" w:w="5100"/>
            <w:shd w:fill="FFFFFF"/>
            <w:vAlign w:val="top"/>
          </w:tcPr>
          <w:p>
            <w:pPr>
              <w:spacing w:after="0"/>
            </w:pPr>
            <w:r/>
            <w:r>
              <w:rPr>
                <w:rFonts w:ascii="Aptos" w:hAnsi="Aptos"/>
                <w:b w:val="0"/>
                <w:sz w:val="15"/>
              </w:rPr>
              <w:t>Read only, write with approval, write within guardrails, tool calls, API updates, production changes, or external communication</w:t>
            </w:r>
          </w:p>
        </w:tc>
      </w:tr>
      <w:tr>
        <w:tc>
          <w:tcPr>
            <w:tcW w:type="dxa" w:w="2000"/>
            <w:shd w:fill="F0EEE9"/>
            <w:vAlign w:val="top"/>
          </w:tcPr>
          <w:p>
            <w:pPr>
              <w:spacing w:after="0"/>
            </w:pPr>
            <w:r/>
            <w:r>
              <w:rPr>
                <w:rFonts w:ascii="Aptos" w:hAnsi="Aptos"/>
                <w:b w:val="0"/>
                <w:sz w:val="15"/>
              </w:rPr>
              <w:t>Reversibility</w:t>
            </w:r>
          </w:p>
        </w:tc>
        <w:tc>
          <w:tcPr>
            <w:tcW w:type="dxa" w:w="2500"/>
            <w:shd w:fill="FFFFFF"/>
            <w:vAlign w:val="top"/>
          </w:tcPr>
          <w:p>
            <w:pPr>
              <w:spacing w:after="0"/>
            </w:pPr>
            <w:r/>
            <w:r>
              <w:rPr>
                <w:rFonts w:ascii="Aptos" w:hAnsi="Aptos"/>
                <w:b w:val="0"/>
                <w:sz w:val="15"/>
              </w:rPr>
              <w:t>Can harm be undone?</w:t>
            </w:r>
          </w:p>
        </w:tc>
        <w:tc>
          <w:tcPr>
            <w:tcW w:type="dxa" w:w="5100"/>
            <w:shd w:fill="FFFFFF"/>
            <w:vAlign w:val="top"/>
          </w:tcPr>
          <w:p>
            <w:pPr>
              <w:spacing w:after="0"/>
            </w:pPr>
            <w:r/>
            <w:r>
              <w:rPr>
                <w:rFonts w:ascii="Aptos" w:hAnsi="Aptos"/>
                <w:b w:val="0"/>
                <w:sz w:val="15"/>
              </w:rPr>
              <w:t>Easy to reverse, manual correction needed, customer/employee visible, financial exposure, legal exposure, or irreversible impact</w:t>
            </w:r>
          </w:p>
        </w:tc>
      </w:tr>
      <w:tr>
        <w:tc>
          <w:tcPr>
            <w:tcW w:type="dxa" w:w="2000"/>
            <w:shd w:fill="F0EEE9"/>
            <w:vAlign w:val="top"/>
          </w:tcPr>
          <w:p>
            <w:pPr>
              <w:spacing w:after="0"/>
            </w:pPr>
            <w:r/>
            <w:r>
              <w:rPr>
                <w:rFonts w:ascii="Aptos" w:hAnsi="Aptos"/>
                <w:b w:val="0"/>
                <w:sz w:val="15"/>
              </w:rPr>
              <w:t>Control dependency</w:t>
            </w:r>
          </w:p>
        </w:tc>
        <w:tc>
          <w:tcPr>
            <w:tcW w:type="dxa" w:w="2500"/>
            <w:shd w:fill="FFFFFF"/>
            <w:vAlign w:val="top"/>
          </w:tcPr>
          <w:p>
            <w:pPr>
              <w:spacing w:after="0"/>
            </w:pPr>
            <w:r/>
            <w:r>
              <w:rPr>
                <w:rFonts w:ascii="Aptos" w:hAnsi="Aptos"/>
                <w:b w:val="0"/>
                <w:sz w:val="15"/>
              </w:rPr>
              <w:t>What controls apply?</w:t>
            </w:r>
          </w:p>
        </w:tc>
        <w:tc>
          <w:tcPr>
            <w:tcW w:type="dxa" w:w="5100"/>
            <w:shd w:fill="FFFFFF"/>
            <w:vAlign w:val="top"/>
          </w:tcPr>
          <w:p>
            <w:pPr>
              <w:spacing w:after="0"/>
            </w:pPr>
            <w:r/>
            <w:r>
              <w:rPr>
                <w:rFonts w:ascii="Aptos" w:hAnsi="Aptos"/>
                <w:b w:val="0"/>
                <w:sz w:val="15"/>
              </w:rPr>
              <w:t>Access control, evidence review, privacy, security, model validation, audit log, change control, incident management, or kill switch</w:t>
            </w:r>
          </w:p>
        </w:tc>
      </w:tr>
    </w:tbl>
    <w:p/>
    <w:p>
      <w:pPr>
        <w:pStyle w:val="Heading1"/>
      </w:pPr>
      <w:r>
        <w:t>6. Company-scale versions</w:t>
      </w:r>
    </w:p>
    <w:tbl>
      <w:tblPr>
        <w:tblStyle w:val="TableGrid"/>
        <w:tblW w:type="auto" w:w="0"/>
        <w:jc w:val="center"/>
        <w:tblLook w:firstColumn="1" w:firstRow="1" w:lastColumn="0" w:lastRow="0" w:noHBand="0" w:noVBand="1" w:val="04A0"/>
      </w:tblPr>
      <w:tblGrid>
        <w:gridCol w:w="2664"/>
        <w:gridCol w:w="2664"/>
        <w:gridCol w:w="2664"/>
        <w:gridCol w:w="2664"/>
      </w:tblGrid>
      <w:tr>
        <w:trPr>
          <w:tblHeader w:val="true"/>
        </w:trPr>
        <w:tc>
          <w:tcPr>
            <w:tcW w:type="dxa" w:w="1500"/>
            <w:shd w:fill="2D3924"/>
            <w:vAlign w:val="center"/>
          </w:tcPr>
          <w:p>
            <w:pPr>
              <w:spacing w:after="0"/>
            </w:pPr>
            <w:r/>
            <w:r>
              <w:rPr>
                <w:rFonts w:ascii="Aptos" w:hAnsi="Aptos"/>
                <w:b/>
                <w:color w:val="FFFFFF"/>
                <w:sz w:val="15"/>
              </w:rPr>
              <w:t>Company scale</w:t>
            </w:r>
          </w:p>
        </w:tc>
        <w:tc>
          <w:tcPr>
            <w:tcW w:type="dxa" w:w="3300"/>
            <w:shd w:fill="2D3924"/>
            <w:vAlign w:val="center"/>
          </w:tcPr>
          <w:p>
            <w:pPr>
              <w:spacing w:after="0"/>
            </w:pPr>
            <w:r/>
            <w:r>
              <w:rPr>
                <w:rFonts w:ascii="Aptos" w:hAnsi="Aptos"/>
                <w:b/>
                <w:color w:val="FFFFFF"/>
                <w:sz w:val="15"/>
              </w:rPr>
              <w:t>Register design</w:t>
            </w:r>
          </w:p>
        </w:tc>
        <w:tc>
          <w:tcPr>
            <w:tcW w:type="dxa" w:w="3300"/>
            <w:shd w:fill="2D3924"/>
            <w:vAlign w:val="center"/>
          </w:tcPr>
          <w:p>
            <w:pPr>
              <w:spacing w:after="0"/>
            </w:pPr>
            <w:r/>
            <w:r>
              <w:rPr>
                <w:rFonts w:ascii="Aptos" w:hAnsi="Aptos"/>
                <w:b/>
                <w:color w:val="FFFFFF"/>
                <w:sz w:val="15"/>
              </w:rPr>
              <w:t>Ownership pattern</w:t>
            </w:r>
          </w:p>
        </w:tc>
        <w:tc>
          <w:tcPr>
            <w:tcW w:type="dxa" w:w="3000"/>
            <w:shd w:fill="2D3924"/>
            <w:vAlign w:val="center"/>
          </w:tcPr>
          <w:p>
            <w:pPr>
              <w:spacing w:after="0"/>
            </w:pPr>
            <w:r/>
            <w:r>
              <w:rPr>
                <w:rFonts w:ascii="Aptos" w:hAnsi="Aptos"/>
                <w:b/>
                <w:color w:val="FFFFFF"/>
                <w:sz w:val="15"/>
              </w:rPr>
              <w:t>Governance expectation</w:t>
            </w:r>
          </w:p>
        </w:tc>
      </w:tr>
      <w:tr>
        <w:tc>
          <w:tcPr>
            <w:tcW w:type="dxa" w:w="1500"/>
            <w:shd w:fill="F0EEE9"/>
            <w:vAlign w:val="top"/>
          </w:tcPr>
          <w:p>
            <w:pPr>
              <w:spacing w:after="0"/>
            </w:pPr>
            <w:r/>
            <w:r>
              <w:rPr>
                <w:rFonts w:ascii="Aptos" w:hAnsi="Aptos"/>
                <w:b w:val="0"/>
                <w:sz w:val="15"/>
              </w:rPr>
              <w:t>500 employees</w:t>
            </w:r>
          </w:p>
        </w:tc>
        <w:tc>
          <w:tcPr>
            <w:tcW w:type="dxa" w:w="3300"/>
            <w:shd w:fill="FFFFFF"/>
            <w:vAlign w:val="top"/>
          </w:tcPr>
          <w:p>
            <w:pPr>
              <w:spacing w:after="0"/>
            </w:pPr>
            <w:r/>
            <w:r>
              <w:rPr>
                <w:rFonts w:ascii="Aptos" w:hAnsi="Aptos"/>
                <w:b w:val="0"/>
                <w:sz w:val="15"/>
              </w:rPr>
              <w:t>Single enterprise register or one register per major function. Keep fields lightweight but mandatory for owner, purpose, sources, allowed actions, human review, and status.</w:t>
            </w:r>
          </w:p>
        </w:tc>
        <w:tc>
          <w:tcPr>
            <w:tcW w:type="dxa" w:w="3300"/>
            <w:shd w:fill="FFFFFF"/>
            <w:vAlign w:val="top"/>
          </w:tcPr>
          <w:p>
            <w:pPr>
              <w:spacing w:after="0"/>
            </w:pPr>
            <w:r/>
            <w:r>
              <w:rPr>
                <w:rFonts w:ascii="Aptos" w:hAnsi="Aptos"/>
                <w:b w:val="0"/>
                <w:sz w:val="15"/>
              </w:rPr>
              <w:t>Named executive sponsor, accountable business owner, technical owner, data/knowledge owner, and control owner for higher-risk use cases.</w:t>
            </w:r>
          </w:p>
        </w:tc>
        <w:tc>
          <w:tcPr>
            <w:tcW w:type="dxa" w:w="3000"/>
            <w:shd w:fill="FFFFFF"/>
            <w:vAlign w:val="top"/>
          </w:tcPr>
          <w:p>
            <w:pPr>
              <w:spacing w:after="0"/>
            </w:pPr>
            <w:r/>
            <w:r>
              <w:rPr>
                <w:rFonts w:ascii="Aptos" w:hAnsi="Aptos"/>
                <w:b w:val="0"/>
                <w:sz w:val="15"/>
              </w:rPr>
              <w:t>Weekly or biweekly review for active pilots. Governance can be centralized, but side-channel pilots should be blocked.</w:t>
            </w:r>
          </w:p>
        </w:tc>
      </w:tr>
      <w:tr>
        <w:tc>
          <w:tcPr>
            <w:tcW w:type="dxa" w:w="1500"/>
            <w:shd w:fill="F0EEE9"/>
            <w:vAlign w:val="top"/>
          </w:tcPr>
          <w:p>
            <w:pPr>
              <w:spacing w:after="0"/>
            </w:pPr>
            <w:r/>
            <w:r>
              <w:rPr>
                <w:rFonts w:ascii="Aptos" w:hAnsi="Aptos"/>
                <w:b w:val="0"/>
                <w:sz w:val="15"/>
              </w:rPr>
              <w:t>5,000 employees</w:t>
            </w:r>
          </w:p>
        </w:tc>
        <w:tc>
          <w:tcPr>
            <w:tcW w:type="dxa" w:w="3300"/>
            <w:shd w:fill="FFFFFF"/>
            <w:vAlign w:val="top"/>
          </w:tcPr>
          <w:p>
            <w:pPr>
              <w:spacing w:after="0"/>
            </w:pPr>
            <w:r/>
            <w:r>
              <w:rPr>
                <w:rFonts w:ascii="Aptos" w:hAnsi="Aptos"/>
                <w:b w:val="0"/>
                <w:sz w:val="15"/>
              </w:rPr>
              <w:t>Federated register by function, product group, region, or platform, with one enterprise rollup. Standardize IDs, statuses, tiers, owners, and evidence links.</w:t>
            </w:r>
          </w:p>
        </w:tc>
        <w:tc>
          <w:tcPr>
            <w:tcW w:type="dxa" w:w="3300"/>
            <w:shd w:fill="FFFFFF"/>
            <w:vAlign w:val="top"/>
          </w:tcPr>
          <w:p>
            <w:pPr>
              <w:spacing w:after="0"/>
            </w:pPr>
            <w:r/>
            <w:r>
              <w:rPr>
                <w:rFonts w:ascii="Aptos" w:hAnsi="Aptos"/>
                <w:b w:val="0"/>
                <w:sz w:val="15"/>
              </w:rPr>
              <w:t>Business owner plus domain AI steward, platform owner, data owner, risk/control owner, and review forum for higher-impact use cases.</w:t>
            </w:r>
          </w:p>
        </w:tc>
        <w:tc>
          <w:tcPr>
            <w:tcW w:type="dxa" w:w="3000"/>
            <w:shd w:fill="FFFFFF"/>
            <w:vAlign w:val="top"/>
          </w:tcPr>
          <w:p>
            <w:pPr>
              <w:spacing w:after="0"/>
            </w:pPr>
            <w:r/>
            <w:r>
              <w:rPr>
                <w:rFonts w:ascii="Aptos" w:hAnsi="Aptos"/>
                <w:b w:val="0"/>
                <w:sz w:val="15"/>
              </w:rPr>
              <w:t>Monthly portfolio governance, escalation for cross-functional use, and required risk acceptance for high-impact or exception-based use.</w:t>
            </w:r>
          </w:p>
        </w:tc>
      </w:tr>
      <w:tr>
        <w:tc>
          <w:tcPr>
            <w:tcW w:type="dxa" w:w="1500"/>
            <w:shd w:fill="F0EEE9"/>
            <w:vAlign w:val="top"/>
          </w:tcPr>
          <w:p>
            <w:pPr>
              <w:spacing w:after="0"/>
            </w:pPr>
            <w:r/>
            <w:r>
              <w:rPr>
                <w:rFonts w:ascii="Aptos" w:hAnsi="Aptos"/>
                <w:b w:val="0"/>
                <w:sz w:val="15"/>
              </w:rPr>
              <w:t>10,000+ employees</w:t>
            </w:r>
          </w:p>
        </w:tc>
        <w:tc>
          <w:tcPr>
            <w:tcW w:type="dxa" w:w="3300"/>
            <w:shd w:fill="FFFFFF"/>
            <w:vAlign w:val="top"/>
          </w:tcPr>
          <w:p>
            <w:pPr>
              <w:spacing w:after="0"/>
            </w:pPr>
            <w:r/>
            <w:r>
              <w:rPr>
                <w:rFonts w:ascii="Aptos" w:hAnsi="Aptos"/>
                <w:b w:val="0"/>
                <w:sz w:val="15"/>
              </w:rPr>
              <w:t>Enterprise AI use case registry with federated sub-registers, automated ingestion from intake, platform, vendor, agent, workflow, model, and risk systems.</w:t>
            </w:r>
          </w:p>
        </w:tc>
        <w:tc>
          <w:tcPr>
            <w:tcW w:type="dxa" w:w="3300"/>
            <w:shd w:fill="FFFFFF"/>
            <w:vAlign w:val="top"/>
          </w:tcPr>
          <w:p>
            <w:pPr>
              <w:spacing w:after="0"/>
            </w:pPr>
            <w:r/>
            <w:r>
              <w:rPr>
                <w:rFonts w:ascii="Aptos" w:hAnsi="Aptos"/>
                <w:b w:val="0"/>
                <w:sz w:val="15"/>
              </w:rPr>
              <w:t>Named business owner, accountable executive, domain steward, model/platform owner, data owner, control owner, privacy/security/legal/risk owner when required.</w:t>
            </w:r>
          </w:p>
        </w:tc>
        <w:tc>
          <w:tcPr>
            <w:tcW w:type="dxa" w:w="3000"/>
            <w:shd w:fill="FFFFFF"/>
            <w:vAlign w:val="top"/>
          </w:tcPr>
          <w:p>
            <w:pPr>
              <w:spacing w:after="0"/>
            </w:pPr>
            <w:r/>
            <w:r>
              <w:rPr>
                <w:rFonts w:ascii="Aptos" w:hAnsi="Aptos"/>
                <w:b w:val="0"/>
                <w:sz w:val="15"/>
              </w:rPr>
              <w:t>Formal lifecycle gates, audit trails, policy-based classification, control evidence, exception management, automated monitoring, and board/executive visibility for critical use.</w:t>
            </w:r>
          </w:p>
        </w:tc>
      </w:tr>
    </w:tbl>
    <w:p/>
    <w:p>
      <w:pPr>
        <w:pStyle w:val="Heading1"/>
      </w:pPr>
      <w:r>
        <w:t>7. Starter register template</w:t>
      </w:r>
    </w:p>
    <w:tbl>
      <w:tblPr>
        <w:tblStyle w:val="TableGrid"/>
        <w:tblW w:type="auto" w:w="0"/>
        <w:jc w:val="center"/>
        <w:tblLook w:firstColumn="1" w:firstRow="1" w:lastColumn="0" w:lastRow="0" w:noHBand="0" w:noVBand="1" w:val="04A0"/>
      </w:tblPr>
      <w:tblGrid>
        <w:gridCol w:w="1184"/>
        <w:gridCol w:w="1184"/>
        <w:gridCol w:w="1184"/>
        <w:gridCol w:w="1184"/>
        <w:gridCol w:w="1184"/>
        <w:gridCol w:w="1184"/>
        <w:gridCol w:w="1184"/>
        <w:gridCol w:w="1184"/>
        <w:gridCol w:w="1184"/>
      </w:tblGrid>
      <w:tr>
        <w:trPr>
          <w:tblHeader w:val="true"/>
        </w:trPr>
        <w:tc>
          <w:tcPr>
            <w:tcW w:type="dxa" w:w="900"/>
            <w:shd w:fill="2D3924"/>
            <w:vAlign w:val="center"/>
          </w:tcPr>
          <w:p>
            <w:pPr>
              <w:spacing w:after="0"/>
            </w:pPr>
            <w:r/>
            <w:r>
              <w:rPr>
                <w:rFonts w:ascii="Aptos" w:hAnsi="Aptos"/>
                <w:b/>
                <w:color w:val="FFFFFF"/>
                <w:sz w:val="13"/>
              </w:rPr>
              <w:t>Use case ID</w:t>
            </w:r>
          </w:p>
        </w:tc>
        <w:tc>
          <w:tcPr>
            <w:tcW w:type="dxa" w:w="1500"/>
            <w:shd w:fill="2D3924"/>
            <w:vAlign w:val="center"/>
          </w:tcPr>
          <w:p>
            <w:pPr>
              <w:spacing w:after="0"/>
            </w:pPr>
            <w:r/>
            <w:r>
              <w:rPr>
                <w:rFonts w:ascii="Aptos" w:hAnsi="Aptos"/>
                <w:b/>
                <w:color w:val="FFFFFF"/>
                <w:sz w:val="13"/>
              </w:rPr>
              <w:t>Name</w:t>
            </w:r>
          </w:p>
        </w:tc>
        <w:tc>
          <w:tcPr>
            <w:tcW w:type="dxa" w:w="1300"/>
            <w:shd w:fill="2D3924"/>
            <w:vAlign w:val="center"/>
          </w:tcPr>
          <w:p>
            <w:pPr>
              <w:spacing w:after="0"/>
            </w:pPr>
            <w:r/>
            <w:r>
              <w:rPr>
                <w:rFonts w:ascii="Aptos" w:hAnsi="Aptos"/>
                <w:b/>
                <w:color w:val="FFFFFF"/>
                <w:sz w:val="13"/>
              </w:rPr>
              <w:t>AI action level</w:t>
            </w:r>
          </w:p>
        </w:tc>
        <w:tc>
          <w:tcPr>
            <w:tcW w:type="dxa" w:w="1000"/>
            <w:shd w:fill="2D3924"/>
            <w:vAlign w:val="center"/>
          </w:tcPr>
          <w:p>
            <w:pPr>
              <w:spacing w:after="0"/>
            </w:pPr>
            <w:r/>
            <w:r>
              <w:rPr>
                <w:rFonts w:ascii="Aptos" w:hAnsi="Aptos"/>
                <w:b/>
                <w:color w:val="FFFFFF"/>
                <w:sz w:val="13"/>
              </w:rPr>
              <w:t>Impact tier</w:t>
            </w:r>
          </w:p>
        </w:tc>
        <w:tc>
          <w:tcPr>
            <w:tcW w:type="dxa" w:w="1900"/>
            <w:shd w:fill="2D3924"/>
            <w:vAlign w:val="center"/>
          </w:tcPr>
          <w:p>
            <w:pPr>
              <w:spacing w:after="0"/>
            </w:pPr>
            <w:r/>
            <w:r>
              <w:rPr>
                <w:rFonts w:ascii="Aptos" w:hAnsi="Aptos"/>
                <w:b/>
                <w:color w:val="FFFFFF"/>
                <w:sz w:val="13"/>
              </w:rPr>
              <w:t>Approved sources</w:t>
            </w:r>
          </w:p>
        </w:tc>
        <w:tc>
          <w:tcPr>
            <w:tcW w:type="dxa" w:w="1900"/>
            <w:shd w:fill="2D3924"/>
            <w:vAlign w:val="center"/>
          </w:tcPr>
          <w:p>
            <w:pPr>
              <w:spacing w:after="0"/>
            </w:pPr>
            <w:r/>
            <w:r>
              <w:rPr>
                <w:rFonts w:ascii="Aptos" w:hAnsi="Aptos"/>
                <w:b/>
                <w:color w:val="FFFFFF"/>
                <w:sz w:val="13"/>
              </w:rPr>
              <w:t>Blocked action</w:t>
            </w:r>
          </w:p>
        </w:tc>
        <w:tc>
          <w:tcPr>
            <w:tcW w:type="dxa" w:w="1600"/>
            <w:shd w:fill="2D3924"/>
            <w:vAlign w:val="center"/>
          </w:tcPr>
          <w:p>
            <w:pPr>
              <w:spacing w:after="0"/>
            </w:pPr>
            <w:r/>
            <w:r>
              <w:rPr>
                <w:rFonts w:ascii="Aptos" w:hAnsi="Aptos"/>
                <w:b/>
                <w:color w:val="FFFFFF"/>
                <w:sz w:val="13"/>
              </w:rPr>
              <w:t>Accountable owner</w:t>
            </w:r>
          </w:p>
        </w:tc>
        <w:tc>
          <w:tcPr>
            <w:tcW w:type="dxa" w:w="2000"/>
            <w:shd w:fill="2D3924"/>
            <w:vAlign w:val="center"/>
          </w:tcPr>
          <w:p>
            <w:pPr>
              <w:spacing w:after="0"/>
            </w:pPr>
            <w:r/>
            <w:r>
              <w:rPr>
                <w:rFonts w:ascii="Aptos" w:hAnsi="Aptos"/>
                <w:b/>
                <w:color w:val="FFFFFF"/>
                <w:sz w:val="13"/>
              </w:rPr>
              <w:t>Human review rule</w:t>
            </w:r>
          </w:p>
        </w:tc>
        <w:tc>
          <w:tcPr>
            <w:tcW w:type="dxa" w:w="1100"/>
            <w:shd w:fill="2D3924"/>
            <w:vAlign w:val="center"/>
          </w:tcPr>
          <w:p>
            <w:pPr>
              <w:spacing w:after="0"/>
            </w:pPr>
            <w:r/>
            <w:r>
              <w:rPr>
                <w:rFonts w:ascii="Aptos" w:hAnsi="Aptos"/>
                <w:b/>
                <w:color w:val="FFFFFF"/>
                <w:sz w:val="13"/>
              </w:rPr>
              <w:t>Lifecycle status</w:t>
            </w:r>
          </w:p>
        </w:tc>
      </w:tr>
      <w:tr>
        <w:tc>
          <w:tcPr>
            <w:tcW w:type="dxa" w:w="900"/>
            <w:shd w:fill="F0EEE9"/>
            <w:vAlign w:val="top"/>
          </w:tcPr>
          <w:p>
            <w:pPr>
              <w:spacing w:after="0"/>
            </w:pPr>
            <w:r/>
            <w:r>
              <w:rPr>
                <w:rFonts w:ascii="Aptos" w:hAnsi="Aptos"/>
                <w:b w:val="0"/>
                <w:sz w:val="13"/>
              </w:rPr>
              <w:t>AI-001</w:t>
            </w:r>
          </w:p>
        </w:tc>
        <w:tc>
          <w:tcPr>
            <w:tcW w:type="dxa" w:w="1500"/>
            <w:shd w:fill="FFFFFF"/>
            <w:vAlign w:val="top"/>
          </w:tcPr>
          <w:p>
            <w:pPr>
              <w:spacing w:after="0"/>
            </w:pPr>
            <w:r/>
            <w:r>
              <w:rPr>
                <w:rFonts w:ascii="Aptos" w:hAnsi="Aptos"/>
                <w:b w:val="0"/>
                <w:sz w:val="13"/>
              </w:rPr>
              <w:t>Sales proposal copilot</w:t>
            </w:r>
          </w:p>
        </w:tc>
        <w:tc>
          <w:tcPr>
            <w:tcW w:type="dxa" w:w="1300"/>
            <w:shd w:fill="FFFFFF"/>
            <w:vAlign w:val="top"/>
          </w:tcPr>
          <w:p>
            <w:pPr>
              <w:spacing w:after="0"/>
            </w:pPr>
            <w:r/>
            <w:r>
              <w:rPr>
                <w:rFonts w:ascii="Aptos" w:hAnsi="Aptos"/>
                <w:b w:val="0"/>
                <w:sz w:val="13"/>
              </w:rPr>
              <w:t>Draft only</w:t>
            </w:r>
          </w:p>
        </w:tc>
        <w:tc>
          <w:tcPr>
            <w:tcW w:type="dxa" w:w="1000"/>
            <w:shd w:fill="FFFFFF"/>
            <w:vAlign w:val="top"/>
          </w:tcPr>
          <w:p>
            <w:pPr>
              <w:spacing w:after="0"/>
            </w:pPr>
            <w:r/>
            <w:r>
              <w:rPr>
                <w:rFonts w:ascii="Aptos" w:hAnsi="Aptos"/>
                <w:b w:val="0"/>
                <w:sz w:val="13"/>
              </w:rPr>
              <w:t>Moderate</w:t>
            </w:r>
          </w:p>
        </w:tc>
        <w:tc>
          <w:tcPr>
            <w:tcW w:type="dxa" w:w="1900"/>
            <w:shd w:fill="FFFFFF"/>
            <w:vAlign w:val="top"/>
          </w:tcPr>
          <w:p>
            <w:pPr>
              <w:spacing w:after="0"/>
            </w:pPr>
            <w:r/>
            <w:r>
              <w:rPr>
                <w:rFonts w:ascii="Aptos" w:hAnsi="Aptos"/>
                <w:b w:val="0"/>
                <w:sz w:val="13"/>
              </w:rPr>
              <w:t>CRM, pricing guide, approved case studies</w:t>
            </w:r>
          </w:p>
        </w:tc>
        <w:tc>
          <w:tcPr>
            <w:tcW w:type="dxa" w:w="1900"/>
            <w:shd w:fill="FFFFFF"/>
            <w:vAlign w:val="top"/>
          </w:tcPr>
          <w:p>
            <w:pPr>
              <w:spacing w:after="0"/>
            </w:pPr>
            <w:r/>
            <w:r>
              <w:rPr>
                <w:rFonts w:ascii="Aptos" w:hAnsi="Aptos"/>
                <w:b w:val="0"/>
                <w:sz w:val="13"/>
              </w:rPr>
              <w:t>Cannot send externally without approval</w:t>
            </w:r>
          </w:p>
        </w:tc>
        <w:tc>
          <w:tcPr>
            <w:tcW w:type="dxa" w:w="1600"/>
            <w:shd w:fill="FFFFFF"/>
            <w:vAlign w:val="top"/>
          </w:tcPr>
          <w:p>
            <w:pPr>
              <w:spacing w:after="0"/>
            </w:pPr>
            <w:r/>
            <w:r>
              <w:rPr>
                <w:rFonts w:ascii="Aptos" w:hAnsi="Aptos"/>
                <w:b w:val="0"/>
                <w:sz w:val="13"/>
              </w:rPr>
              <w:t>Sales Ops Director</w:t>
            </w:r>
          </w:p>
        </w:tc>
        <w:tc>
          <w:tcPr>
            <w:tcW w:type="dxa" w:w="2000"/>
            <w:shd w:fill="FFFFFF"/>
            <w:vAlign w:val="top"/>
          </w:tcPr>
          <w:p>
            <w:pPr>
              <w:spacing w:after="0"/>
            </w:pPr>
            <w:r/>
            <w:r>
              <w:rPr>
                <w:rFonts w:ascii="Aptos" w:hAnsi="Aptos"/>
                <w:b w:val="0"/>
                <w:sz w:val="13"/>
              </w:rPr>
              <w:t>Human approval before customer send</w:t>
            </w:r>
          </w:p>
        </w:tc>
        <w:tc>
          <w:tcPr>
            <w:tcW w:type="dxa" w:w="1100"/>
            <w:shd w:fill="FFFFFF"/>
            <w:vAlign w:val="top"/>
          </w:tcPr>
          <w:p>
            <w:pPr>
              <w:spacing w:after="0"/>
            </w:pPr>
            <w:r/>
            <w:r>
              <w:rPr>
                <w:rFonts w:ascii="Aptos" w:hAnsi="Aptos"/>
                <w:b w:val="0"/>
                <w:sz w:val="13"/>
              </w:rPr>
              <w:t>Pilot</w:t>
            </w:r>
          </w:p>
        </w:tc>
      </w:tr>
      <w:tr>
        <w:tc>
          <w:tcPr>
            <w:tcW w:type="dxa" w:w="900"/>
            <w:shd w:fill="F0EEE9"/>
            <w:vAlign w:val="top"/>
          </w:tcPr>
          <w:p>
            <w:pPr>
              <w:spacing w:after="0"/>
            </w:pPr>
            <w:r/>
            <w:r>
              <w:rPr>
                <w:rFonts w:ascii="Aptos" w:hAnsi="Aptos"/>
                <w:b w:val="0"/>
                <w:sz w:val="13"/>
              </w:rPr>
              <w:t>AI-002</w:t>
            </w:r>
          </w:p>
        </w:tc>
        <w:tc>
          <w:tcPr>
            <w:tcW w:type="dxa" w:w="1500"/>
            <w:shd w:fill="FFFFFF"/>
            <w:vAlign w:val="top"/>
          </w:tcPr>
          <w:p>
            <w:pPr>
              <w:spacing w:after="0"/>
            </w:pPr>
            <w:r/>
            <w:r>
              <w:rPr>
                <w:rFonts w:ascii="Aptos" w:hAnsi="Aptos"/>
                <w:b w:val="0"/>
                <w:sz w:val="13"/>
              </w:rPr>
              <w:t>Policy Q&amp;A assistant</w:t>
            </w:r>
          </w:p>
        </w:tc>
        <w:tc>
          <w:tcPr>
            <w:tcW w:type="dxa" w:w="1300"/>
            <w:shd w:fill="FFFFFF"/>
            <w:vAlign w:val="top"/>
          </w:tcPr>
          <w:p>
            <w:pPr>
              <w:spacing w:after="0"/>
            </w:pPr>
            <w:r/>
            <w:r>
              <w:rPr>
                <w:rFonts w:ascii="Aptos" w:hAnsi="Aptos"/>
                <w:b w:val="0"/>
                <w:sz w:val="13"/>
              </w:rPr>
              <w:t>Retrieve and summarize</w:t>
            </w:r>
          </w:p>
        </w:tc>
        <w:tc>
          <w:tcPr>
            <w:tcW w:type="dxa" w:w="1000"/>
            <w:shd w:fill="FFFFFF"/>
            <w:vAlign w:val="top"/>
          </w:tcPr>
          <w:p>
            <w:pPr>
              <w:spacing w:after="0"/>
            </w:pPr>
            <w:r/>
            <w:r>
              <w:rPr>
                <w:rFonts w:ascii="Aptos" w:hAnsi="Aptos"/>
                <w:b w:val="0"/>
                <w:sz w:val="13"/>
              </w:rPr>
              <w:t>Moderate</w:t>
            </w:r>
          </w:p>
        </w:tc>
        <w:tc>
          <w:tcPr>
            <w:tcW w:type="dxa" w:w="1900"/>
            <w:shd w:fill="FFFFFF"/>
            <w:vAlign w:val="top"/>
          </w:tcPr>
          <w:p>
            <w:pPr>
              <w:spacing w:after="0"/>
            </w:pPr>
            <w:r/>
            <w:r>
              <w:rPr>
                <w:rFonts w:ascii="Aptos" w:hAnsi="Aptos"/>
                <w:b w:val="0"/>
                <w:sz w:val="13"/>
              </w:rPr>
              <w:t>Approved policy knowledge base</w:t>
            </w:r>
          </w:p>
        </w:tc>
        <w:tc>
          <w:tcPr>
            <w:tcW w:type="dxa" w:w="1900"/>
            <w:shd w:fill="FFFFFF"/>
            <w:vAlign w:val="top"/>
          </w:tcPr>
          <w:p>
            <w:pPr>
              <w:spacing w:after="0"/>
            </w:pPr>
            <w:r/>
            <w:r>
              <w:rPr>
                <w:rFonts w:ascii="Aptos" w:hAnsi="Aptos"/>
                <w:b w:val="0"/>
                <w:sz w:val="13"/>
              </w:rPr>
              <w:t>Cannot cite stale or draft policy</w:t>
            </w:r>
          </w:p>
        </w:tc>
        <w:tc>
          <w:tcPr>
            <w:tcW w:type="dxa" w:w="1600"/>
            <w:shd w:fill="FFFFFF"/>
            <w:vAlign w:val="top"/>
          </w:tcPr>
          <w:p>
            <w:pPr>
              <w:spacing w:after="0"/>
            </w:pPr>
            <w:r/>
            <w:r>
              <w:rPr>
                <w:rFonts w:ascii="Aptos" w:hAnsi="Aptos"/>
                <w:b w:val="0"/>
                <w:sz w:val="13"/>
              </w:rPr>
              <w:t>HR Operations Owner</w:t>
            </w:r>
          </w:p>
        </w:tc>
        <w:tc>
          <w:tcPr>
            <w:tcW w:type="dxa" w:w="2000"/>
            <w:shd w:fill="FFFFFF"/>
            <w:vAlign w:val="top"/>
          </w:tcPr>
          <w:p>
            <w:pPr>
              <w:spacing w:after="0"/>
            </w:pPr>
            <w:r/>
            <w:r>
              <w:rPr>
                <w:rFonts w:ascii="Aptos" w:hAnsi="Aptos"/>
                <w:b w:val="0"/>
                <w:sz w:val="13"/>
              </w:rPr>
              <w:t>Escalate conflicts to policy owner</w:t>
            </w:r>
          </w:p>
        </w:tc>
        <w:tc>
          <w:tcPr>
            <w:tcW w:type="dxa" w:w="1100"/>
            <w:shd w:fill="FFFFFF"/>
            <w:vAlign w:val="top"/>
          </w:tcPr>
          <w:p>
            <w:pPr>
              <w:spacing w:after="0"/>
            </w:pPr>
            <w:r/>
            <w:r>
              <w:rPr>
                <w:rFonts w:ascii="Aptos" w:hAnsi="Aptos"/>
                <w:b w:val="0"/>
                <w:sz w:val="13"/>
              </w:rPr>
              <w:t>Limited release</w:t>
            </w:r>
          </w:p>
        </w:tc>
      </w:tr>
      <w:tr>
        <w:tc>
          <w:tcPr>
            <w:tcW w:type="dxa" w:w="900"/>
            <w:shd w:fill="F0EEE9"/>
            <w:vAlign w:val="top"/>
          </w:tcPr>
          <w:p>
            <w:pPr>
              <w:spacing w:after="0"/>
            </w:pPr>
            <w:r/>
            <w:r>
              <w:rPr>
                <w:rFonts w:ascii="Aptos" w:hAnsi="Aptos"/>
                <w:b w:val="0"/>
                <w:sz w:val="13"/>
              </w:rPr>
              <w:t>AI-003</w:t>
            </w:r>
          </w:p>
        </w:tc>
        <w:tc>
          <w:tcPr>
            <w:tcW w:type="dxa" w:w="1500"/>
            <w:shd w:fill="FFFFFF"/>
            <w:vAlign w:val="top"/>
          </w:tcPr>
          <w:p>
            <w:pPr>
              <w:spacing w:after="0"/>
            </w:pPr>
            <w:r/>
            <w:r>
              <w:rPr>
                <w:rFonts w:ascii="Aptos" w:hAnsi="Aptos"/>
                <w:b w:val="0"/>
                <w:sz w:val="13"/>
              </w:rPr>
              <w:t>Invoice exception triage</w:t>
            </w:r>
          </w:p>
        </w:tc>
        <w:tc>
          <w:tcPr>
            <w:tcW w:type="dxa" w:w="1300"/>
            <w:shd w:fill="FFFFFF"/>
            <w:vAlign w:val="top"/>
          </w:tcPr>
          <w:p>
            <w:pPr>
              <w:spacing w:after="0"/>
            </w:pPr>
            <w:r/>
            <w:r>
              <w:rPr>
                <w:rFonts w:ascii="Aptos" w:hAnsi="Aptos"/>
                <w:b w:val="0"/>
                <w:sz w:val="13"/>
              </w:rPr>
              <w:t>Classify and route</w:t>
            </w:r>
          </w:p>
        </w:tc>
        <w:tc>
          <w:tcPr>
            <w:tcW w:type="dxa" w:w="1000"/>
            <w:shd w:fill="FFFFFF"/>
            <w:vAlign w:val="top"/>
          </w:tcPr>
          <w:p>
            <w:pPr>
              <w:spacing w:after="0"/>
            </w:pPr>
            <w:r/>
            <w:r>
              <w:rPr>
                <w:rFonts w:ascii="Aptos" w:hAnsi="Aptos"/>
                <w:b w:val="0"/>
                <w:sz w:val="13"/>
              </w:rPr>
              <w:t>High</w:t>
            </w:r>
          </w:p>
        </w:tc>
        <w:tc>
          <w:tcPr>
            <w:tcW w:type="dxa" w:w="1900"/>
            <w:shd w:fill="FFFFFF"/>
            <w:vAlign w:val="top"/>
          </w:tcPr>
          <w:p>
            <w:pPr>
              <w:spacing w:after="0"/>
            </w:pPr>
            <w:r/>
            <w:r>
              <w:rPr>
                <w:rFonts w:ascii="Aptos" w:hAnsi="Aptos"/>
                <w:b w:val="0"/>
                <w:sz w:val="13"/>
              </w:rPr>
              <w:t>ERP, invoice images, vendor master</w:t>
            </w:r>
          </w:p>
        </w:tc>
        <w:tc>
          <w:tcPr>
            <w:tcW w:type="dxa" w:w="1900"/>
            <w:shd w:fill="FFFFFF"/>
            <w:vAlign w:val="top"/>
          </w:tcPr>
          <w:p>
            <w:pPr>
              <w:spacing w:after="0"/>
            </w:pPr>
            <w:r/>
            <w:r>
              <w:rPr>
                <w:rFonts w:ascii="Aptos" w:hAnsi="Aptos"/>
                <w:b w:val="0"/>
                <w:sz w:val="13"/>
              </w:rPr>
              <w:t>Cannot approve payment</w:t>
            </w:r>
          </w:p>
        </w:tc>
        <w:tc>
          <w:tcPr>
            <w:tcW w:type="dxa" w:w="1600"/>
            <w:shd w:fill="FFFFFF"/>
            <w:vAlign w:val="top"/>
          </w:tcPr>
          <w:p>
            <w:pPr>
              <w:spacing w:after="0"/>
            </w:pPr>
            <w:r/>
            <w:r>
              <w:rPr>
                <w:rFonts w:ascii="Aptos" w:hAnsi="Aptos"/>
                <w:b w:val="0"/>
                <w:sz w:val="13"/>
              </w:rPr>
              <w:t>Finance Operations Owner</w:t>
            </w:r>
          </w:p>
        </w:tc>
        <w:tc>
          <w:tcPr>
            <w:tcW w:type="dxa" w:w="2000"/>
            <w:shd w:fill="FFFFFF"/>
            <w:vAlign w:val="top"/>
          </w:tcPr>
          <w:p>
            <w:pPr>
              <w:spacing w:after="0"/>
            </w:pPr>
            <w:r/>
            <w:r>
              <w:rPr>
                <w:rFonts w:ascii="Aptos" w:hAnsi="Aptos"/>
                <w:b w:val="0"/>
                <w:sz w:val="13"/>
              </w:rPr>
              <w:t>Control owner review for thresholds</w:t>
            </w:r>
          </w:p>
        </w:tc>
        <w:tc>
          <w:tcPr>
            <w:tcW w:type="dxa" w:w="1100"/>
            <w:shd w:fill="FFFFFF"/>
            <w:vAlign w:val="top"/>
          </w:tcPr>
          <w:p>
            <w:pPr>
              <w:spacing w:after="0"/>
            </w:pPr>
            <w:r/>
            <w:r>
              <w:rPr>
                <w:rFonts w:ascii="Aptos" w:hAnsi="Aptos"/>
                <w:b w:val="0"/>
                <w:sz w:val="13"/>
              </w:rPr>
              <w:t>Discovery</w:t>
            </w:r>
          </w:p>
        </w:tc>
      </w:tr>
      <w:tr>
        <w:tc>
          <w:tcPr>
            <w:tcW w:type="dxa" w:w="900"/>
            <w:shd w:fill="F0EEE9"/>
            <w:vAlign w:val="top"/>
          </w:tcPr>
          <w:p>
            <w:pPr>
              <w:spacing w:after="0"/>
            </w:pPr>
            <w:r/>
            <w:r>
              <w:rPr>
                <w:rFonts w:ascii="Aptos" w:hAnsi="Aptos"/>
                <w:b w:val="0"/>
                <w:sz w:val="13"/>
              </w:rPr>
              <w:t>AI-004</w:t>
            </w:r>
          </w:p>
        </w:tc>
        <w:tc>
          <w:tcPr>
            <w:tcW w:type="dxa" w:w="1500"/>
            <w:shd w:fill="FFFFFF"/>
            <w:vAlign w:val="top"/>
          </w:tcPr>
          <w:p>
            <w:pPr>
              <w:spacing w:after="0"/>
            </w:pPr>
            <w:r/>
            <w:r>
              <w:rPr>
                <w:rFonts w:ascii="Aptos" w:hAnsi="Aptos"/>
                <w:b w:val="0"/>
                <w:sz w:val="13"/>
              </w:rPr>
              <w:t>Customer support response agent</w:t>
            </w:r>
          </w:p>
        </w:tc>
        <w:tc>
          <w:tcPr>
            <w:tcW w:type="dxa" w:w="1300"/>
            <w:shd w:fill="FFFFFF"/>
            <w:vAlign w:val="top"/>
          </w:tcPr>
          <w:p>
            <w:pPr>
              <w:spacing w:after="0"/>
            </w:pPr>
            <w:r/>
            <w:r>
              <w:rPr>
                <w:rFonts w:ascii="Aptos" w:hAnsi="Aptos"/>
                <w:b w:val="0"/>
                <w:sz w:val="13"/>
              </w:rPr>
              <w:t>Draft and recommend</w:t>
            </w:r>
          </w:p>
        </w:tc>
        <w:tc>
          <w:tcPr>
            <w:tcW w:type="dxa" w:w="1000"/>
            <w:shd w:fill="FFFFFF"/>
            <w:vAlign w:val="top"/>
          </w:tcPr>
          <w:p>
            <w:pPr>
              <w:spacing w:after="0"/>
            </w:pPr>
            <w:r/>
            <w:r>
              <w:rPr>
                <w:rFonts w:ascii="Aptos" w:hAnsi="Aptos"/>
                <w:b w:val="0"/>
                <w:sz w:val="13"/>
              </w:rPr>
              <w:t>High</w:t>
            </w:r>
          </w:p>
        </w:tc>
        <w:tc>
          <w:tcPr>
            <w:tcW w:type="dxa" w:w="1900"/>
            <w:shd w:fill="FFFFFF"/>
            <w:vAlign w:val="top"/>
          </w:tcPr>
          <w:p>
            <w:pPr>
              <w:spacing w:after="0"/>
            </w:pPr>
            <w:r/>
            <w:r>
              <w:rPr>
                <w:rFonts w:ascii="Aptos" w:hAnsi="Aptos"/>
                <w:b w:val="0"/>
                <w:sz w:val="13"/>
              </w:rPr>
              <w:t>Support KB, CRM case history</w:t>
            </w:r>
          </w:p>
        </w:tc>
        <w:tc>
          <w:tcPr>
            <w:tcW w:type="dxa" w:w="1900"/>
            <w:shd w:fill="FFFFFF"/>
            <w:vAlign w:val="top"/>
          </w:tcPr>
          <w:p>
            <w:pPr>
              <w:spacing w:after="0"/>
            </w:pPr>
            <w:r/>
            <w:r>
              <w:rPr>
                <w:rFonts w:ascii="Aptos" w:hAnsi="Aptos"/>
                <w:b w:val="0"/>
                <w:sz w:val="13"/>
              </w:rPr>
              <w:t>Cannot promise refunds or contract exceptions</w:t>
            </w:r>
          </w:p>
        </w:tc>
        <w:tc>
          <w:tcPr>
            <w:tcW w:type="dxa" w:w="1600"/>
            <w:shd w:fill="FFFFFF"/>
            <w:vAlign w:val="top"/>
          </w:tcPr>
          <w:p>
            <w:pPr>
              <w:spacing w:after="0"/>
            </w:pPr>
            <w:r/>
            <w:r>
              <w:rPr>
                <w:rFonts w:ascii="Aptos" w:hAnsi="Aptos"/>
                <w:b w:val="0"/>
                <w:sz w:val="13"/>
              </w:rPr>
              <w:t>Service Owner</w:t>
            </w:r>
          </w:p>
        </w:tc>
        <w:tc>
          <w:tcPr>
            <w:tcW w:type="dxa" w:w="2000"/>
            <w:shd w:fill="FFFFFF"/>
            <w:vAlign w:val="top"/>
          </w:tcPr>
          <w:p>
            <w:pPr>
              <w:spacing w:after="0"/>
            </w:pPr>
            <w:r/>
            <w:r>
              <w:rPr>
                <w:rFonts w:ascii="Aptos" w:hAnsi="Aptos"/>
                <w:b w:val="0"/>
                <w:sz w:val="13"/>
              </w:rPr>
              <w:t>Approval for sensitive responses</w:t>
            </w:r>
          </w:p>
        </w:tc>
        <w:tc>
          <w:tcPr>
            <w:tcW w:type="dxa" w:w="1100"/>
            <w:shd w:fill="FFFFFF"/>
            <w:vAlign w:val="top"/>
          </w:tcPr>
          <w:p>
            <w:pPr>
              <w:spacing w:after="0"/>
            </w:pPr>
            <w:r/>
            <w:r>
              <w:rPr>
                <w:rFonts w:ascii="Aptos" w:hAnsi="Aptos"/>
                <w:b w:val="0"/>
                <w:sz w:val="13"/>
              </w:rPr>
              <w:t>Design</w:t>
            </w:r>
          </w:p>
        </w:tc>
      </w:tr>
      <w:tr>
        <w:tc>
          <w:tcPr>
            <w:tcW w:type="dxa" w:w="900"/>
            <w:shd w:fill="F0EEE9"/>
            <w:vAlign w:val="top"/>
          </w:tcPr>
          <w:p>
            <w:pPr>
              <w:spacing w:after="0"/>
            </w:pPr>
            <w:r/>
            <w:r>
              <w:rPr>
                <w:rFonts w:ascii="Aptos" w:hAnsi="Aptos"/>
                <w:b w:val="0"/>
                <w:sz w:val="13"/>
              </w:rPr>
              <w:t>AI-005</w:t>
            </w:r>
          </w:p>
        </w:tc>
        <w:tc>
          <w:tcPr>
            <w:tcW w:type="dxa" w:w="1500"/>
            <w:shd w:fill="FFFFFF"/>
            <w:vAlign w:val="top"/>
          </w:tcPr>
          <w:p>
            <w:pPr>
              <w:spacing w:after="0"/>
            </w:pPr>
            <w:r/>
            <w:r>
              <w:rPr>
                <w:rFonts w:ascii="Aptos" w:hAnsi="Aptos"/>
                <w:b w:val="0"/>
                <w:sz w:val="13"/>
              </w:rPr>
              <w:t>Executive risk summary generator</w:t>
            </w:r>
          </w:p>
        </w:tc>
        <w:tc>
          <w:tcPr>
            <w:tcW w:type="dxa" w:w="1300"/>
            <w:shd w:fill="FFFFFF"/>
            <w:vAlign w:val="top"/>
          </w:tcPr>
          <w:p>
            <w:pPr>
              <w:spacing w:after="0"/>
            </w:pPr>
            <w:r/>
            <w:r>
              <w:rPr>
                <w:rFonts w:ascii="Aptos" w:hAnsi="Aptos"/>
                <w:b w:val="0"/>
                <w:sz w:val="13"/>
              </w:rPr>
              <w:t>Summarize</w:t>
            </w:r>
          </w:p>
        </w:tc>
        <w:tc>
          <w:tcPr>
            <w:tcW w:type="dxa" w:w="1000"/>
            <w:shd w:fill="FFFFFF"/>
            <w:vAlign w:val="top"/>
          </w:tcPr>
          <w:p>
            <w:pPr>
              <w:spacing w:after="0"/>
            </w:pPr>
            <w:r/>
            <w:r>
              <w:rPr>
                <w:rFonts w:ascii="Aptos" w:hAnsi="Aptos"/>
                <w:b w:val="0"/>
                <w:sz w:val="13"/>
              </w:rPr>
              <w:t>High</w:t>
            </w:r>
          </w:p>
        </w:tc>
        <w:tc>
          <w:tcPr>
            <w:tcW w:type="dxa" w:w="1900"/>
            <w:shd w:fill="FFFFFF"/>
            <w:vAlign w:val="top"/>
          </w:tcPr>
          <w:p>
            <w:pPr>
              <w:spacing w:after="0"/>
            </w:pPr>
            <w:r/>
            <w:r>
              <w:rPr>
                <w:rFonts w:ascii="Aptos" w:hAnsi="Aptos"/>
                <w:b w:val="0"/>
                <w:sz w:val="13"/>
              </w:rPr>
              <w:t>Risk register, control evidence, incident logs</w:t>
            </w:r>
          </w:p>
        </w:tc>
        <w:tc>
          <w:tcPr>
            <w:tcW w:type="dxa" w:w="1900"/>
            <w:shd w:fill="FFFFFF"/>
            <w:vAlign w:val="top"/>
          </w:tcPr>
          <w:p>
            <w:pPr>
              <w:spacing w:after="0"/>
            </w:pPr>
            <w:r/>
            <w:r>
              <w:rPr>
                <w:rFonts w:ascii="Aptos" w:hAnsi="Aptos"/>
                <w:b w:val="0"/>
                <w:sz w:val="13"/>
              </w:rPr>
              <w:t>Cannot create new risk acceptance</w:t>
            </w:r>
          </w:p>
        </w:tc>
        <w:tc>
          <w:tcPr>
            <w:tcW w:type="dxa" w:w="1600"/>
            <w:shd w:fill="FFFFFF"/>
            <w:vAlign w:val="top"/>
          </w:tcPr>
          <w:p>
            <w:pPr>
              <w:spacing w:after="0"/>
            </w:pPr>
            <w:r/>
            <w:r>
              <w:rPr>
                <w:rFonts w:ascii="Aptos" w:hAnsi="Aptos"/>
                <w:b w:val="0"/>
                <w:sz w:val="13"/>
              </w:rPr>
              <w:t>Risk Governance Owner</w:t>
            </w:r>
          </w:p>
        </w:tc>
        <w:tc>
          <w:tcPr>
            <w:tcW w:type="dxa" w:w="2000"/>
            <w:shd w:fill="FFFFFF"/>
            <w:vAlign w:val="top"/>
          </w:tcPr>
          <w:p>
            <w:pPr>
              <w:spacing w:after="0"/>
            </w:pPr>
            <w:r/>
            <w:r>
              <w:rPr>
                <w:rFonts w:ascii="Aptos" w:hAnsi="Aptos"/>
                <w:b w:val="0"/>
                <w:sz w:val="13"/>
              </w:rPr>
              <w:t>Evidence checklist required</w:t>
            </w:r>
          </w:p>
        </w:tc>
        <w:tc>
          <w:tcPr>
            <w:tcW w:type="dxa" w:w="1100"/>
            <w:shd w:fill="FFFFFF"/>
            <w:vAlign w:val="top"/>
          </w:tcPr>
          <w:p>
            <w:pPr>
              <w:spacing w:after="0"/>
            </w:pPr>
            <w:r/>
            <w:r>
              <w:rPr>
                <w:rFonts w:ascii="Aptos" w:hAnsi="Aptos"/>
                <w:b w:val="0"/>
                <w:sz w:val="13"/>
              </w:rPr>
              <w:t>Production</w:t>
            </w:r>
          </w:p>
        </w:tc>
      </w:tr>
    </w:tbl>
    <w:p/>
    <w:p>
      <w:pPr>
        <w:pStyle w:val="Heading1"/>
      </w:pPr>
      <w:r>
        <w:t>8. Governance readiness scoring</w:t>
      </w:r>
    </w:p>
    <w:p>
      <w:r>
        <w:rPr>
          <w:color w:val="1B1C19"/>
        </w:rPr>
        <w:t>Score each use case from 0 to 100 before pilot, launch, scale, and renewal. High-impact use cases should not proceed with weak ownership, undefined source boundaries, missing control evidence, or unclear human review.</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500"/>
            <w:shd w:fill="2D3924"/>
            <w:vAlign w:val="center"/>
          </w:tcPr>
          <w:p>
            <w:pPr>
              <w:spacing w:after="0"/>
            </w:pPr>
            <w:r/>
            <w:r>
              <w:rPr>
                <w:rFonts w:ascii="Aptos" w:hAnsi="Aptos"/>
                <w:b/>
                <w:color w:val="FFFFFF"/>
                <w:sz w:val="16"/>
              </w:rPr>
              <w:t>Score area</w:t>
            </w:r>
          </w:p>
        </w:tc>
        <w:tc>
          <w:tcPr>
            <w:tcW w:type="dxa" w:w="1100"/>
            <w:shd w:fill="2D3924"/>
            <w:vAlign w:val="center"/>
          </w:tcPr>
          <w:p>
            <w:pPr>
              <w:spacing w:after="0"/>
            </w:pPr>
            <w:r/>
            <w:r>
              <w:rPr>
                <w:rFonts w:ascii="Aptos" w:hAnsi="Aptos"/>
                <w:b/>
                <w:color w:val="FFFFFF"/>
                <w:sz w:val="16"/>
              </w:rPr>
              <w:t>Points</w:t>
            </w:r>
          </w:p>
        </w:tc>
        <w:tc>
          <w:tcPr>
            <w:tcW w:type="dxa" w:w="6000"/>
            <w:shd w:fill="2D3924"/>
            <w:vAlign w:val="center"/>
          </w:tcPr>
          <w:p>
            <w:pPr>
              <w:spacing w:after="0"/>
            </w:pPr>
            <w:r/>
            <w:r>
              <w:rPr>
                <w:rFonts w:ascii="Aptos" w:hAnsi="Aptos"/>
                <w:b/>
                <w:color w:val="FFFFFF"/>
                <w:sz w:val="16"/>
              </w:rPr>
              <w:t>What good looks like</w:t>
            </w:r>
          </w:p>
        </w:tc>
      </w:tr>
      <w:tr>
        <w:tc>
          <w:tcPr>
            <w:tcW w:type="dxa" w:w="2500"/>
            <w:shd w:fill="F0EEE9"/>
            <w:vAlign w:val="top"/>
          </w:tcPr>
          <w:p>
            <w:pPr>
              <w:spacing w:after="0"/>
            </w:pPr>
            <w:r/>
            <w:r>
              <w:rPr>
                <w:rFonts w:ascii="Aptos" w:hAnsi="Aptos"/>
                <w:b w:val="0"/>
                <w:sz w:val="16"/>
              </w:rPr>
              <w:t>Ownership clarity</w:t>
            </w:r>
          </w:p>
        </w:tc>
        <w:tc>
          <w:tcPr>
            <w:tcW w:type="dxa" w:w="1100"/>
            <w:shd w:fill="FFFFFF"/>
            <w:vAlign w:val="top"/>
          </w:tcPr>
          <w:p>
            <w:pPr>
              <w:spacing w:after="0"/>
            </w:pPr>
            <w:r/>
            <w:r>
              <w:rPr>
                <w:rFonts w:ascii="Aptos" w:hAnsi="Aptos"/>
                <w:b w:val="0"/>
                <w:sz w:val="16"/>
              </w:rPr>
              <w:t>0-20</w:t>
            </w:r>
          </w:p>
        </w:tc>
        <w:tc>
          <w:tcPr>
            <w:tcW w:type="dxa" w:w="6000"/>
            <w:shd w:fill="FFFFFF"/>
            <w:vAlign w:val="top"/>
          </w:tcPr>
          <w:p>
            <w:pPr>
              <w:spacing w:after="0"/>
            </w:pPr>
            <w:r/>
            <w:r>
              <w:rPr>
                <w:rFonts w:ascii="Aptos" w:hAnsi="Aptos"/>
                <w:b w:val="0"/>
                <w:sz w:val="16"/>
              </w:rPr>
              <w:t>Named business, technical, data/knowledge, decision, and control owners</w:t>
            </w:r>
          </w:p>
        </w:tc>
      </w:tr>
      <w:tr>
        <w:tc>
          <w:tcPr>
            <w:tcW w:type="dxa" w:w="2500"/>
            <w:shd w:fill="F0EEE9"/>
            <w:vAlign w:val="top"/>
          </w:tcPr>
          <w:p>
            <w:pPr>
              <w:spacing w:after="0"/>
            </w:pPr>
            <w:r/>
            <w:r>
              <w:rPr>
                <w:rFonts w:ascii="Aptos" w:hAnsi="Aptos"/>
                <w:b w:val="0"/>
                <w:sz w:val="16"/>
              </w:rPr>
              <w:t>Use case classification</w:t>
            </w:r>
          </w:p>
        </w:tc>
        <w:tc>
          <w:tcPr>
            <w:tcW w:type="dxa" w:w="1100"/>
            <w:shd w:fill="FFFFFF"/>
            <w:vAlign w:val="top"/>
          </w:tcPr>
          <w:p>
            <w:pPr>
              <w:spacing w:after="0"/>
            </w:pPr>
            <w:r/>
            <w:r>
              <w:rPr>
                <w:rFonts w:ascii="Aptos" w:hAnsi="Aptos"/>
                <w:b w:val="0"/>
                <w:sz w:val="16"/>
              </w:rPr>
              <w:t>0-15</w:t>
            </w:r>
          </w:p>
        </w:tc>
        <w:tc>
          <w:tcPr>
            <w:tcW w:type="dxa" w:w="6000"/>
            <w:shd w:fill="FFFFFF"/>
            <w:vAlign w:val="top"/>
          </w:tcPr>
          <w:p>
            <w:pPr>
              <w:spacing w:after="0"/>
            </w:pPr>
            <w:r/>
            <w:r>
              <w:rPr>
                <w:rFonts w:ascii="Aptos" w:hAnsi="Aptos"/>
                <w:b w:val="0"/>
                <w:sz w:val="16"/>
              </w:rPr>
              <w:t>AI type, impact tier, autonomy, data sensitivity, system access, and reversibility are classified</w:t>
            </w:r>
          </w:p>
        </w:tc>
      </w:tr>
      <w:tr>
        <w:tc>
          <w:tcPr>
            <w:tcW w:type="dxa" w:w="2500"/>
            <w:shd w:fill="F0EEE9"/>
            <w:vAlign w:val="top"/>
          </w:tcPr>
          <w:p>
            <w:pPr>
              <w:spacing w:after="0"/>
            </w:pPr>
            <w:r/>
            <w:r>
              <w:rPr>
                <w:rFonts w:ascii="Aptos" w:hAnsi="Aptos"/>
                <w:b w:val="0"/>
                <w:sz w:val="16"/>
              </w:rPr>
              <w:t>Data and source boundary</w:t>
            </w:r>
          </w:p>
        </w:tc>
        <w:tc>
          <w:tcPr>
            <w:tcW w:type="dxa" w:w="1100"/>
            <w:shd w:fill="FFFFFF"/>
            <w:vAlign w:val="top"/>
          </w:tcPr>
          <w:p>
            <w:pPr>
              <w:spacing w:after="0"/>
            </w:pPr>
            <w:r/>
            <w:r>
              <w:rPr>
                <w:rFonts w:ascii="Aptos" w:hAnsi="Aptos"/>
                <w:b w:val="0"/>
                <w:sz w:val="16"/>
              </w:rPr>
              <w:t>0-15</w:t>
            </w:r>
          </w:p>
        </w:tc>
        <w:tc>
          <w:tcPr>
            <w:tcW w:type="dxa" w:w="6000"/>
            <w:shd w:fill="FFFFFF"/>
            <w:vAlign w:val="top"/>
          </w:tcPr>
          <w:p>
            <w:pPr>
              <w:spacing w:after="0"/>
            </w:pPr>
            <w:r/>
            <w:r>
              <w:rPr>
                <w:rFonts w:ascii="Aptos" w:hAnsi="Aptos"/>
                <w:b w:val="0"/>
                <w:sz w:val="16"/>
              </w:rPr>
              <w:t>Approved and blocked sources are defined with source-of-truth and freshness rules</w:t>
            </w:r>
          </w:p>
        </w:tc>
      </w:tr>
      <w:tr>
        <w:tc>
          <w:tcPr>
            <w:tcW w:type="dxa" w:w="2500"/>
            <w:shd w:fill="F0EEE9"/>
            <w:vAlign w:val="top"/>
          </w:tcPr>
          <w:p>
            <w:pPr>
              <w:spacing w:after="0"/>
            </w:pPr>
            <w:r/>
            <w:r>
              <w:rPr>
                <w:rFonts w:ascii="Aptos" w:hAnsi="Aptos"/>
                <w:b w:val="0"/>
                <w:sz w:val="16"/>
              </w:rPr>
              <w:t>Decision and action boundary</w:t>
            </w:r>
          </w:p>
        </w:tc>
        <w:tc>
          <w:tcPr>
            <w:tcW w:type="dxa" w:w="1100"/>
            <w:shd w:fill="FFFFFF"/>
            <w:vAlign w:val="top"/>
          </w:tcPr>
          <w:p>
            <w:pPr>
              <w:spacing w:after="0"/>
            </w:pPr>
            <w:r/>
            <w:r>
              <w:rPr>
                <w:rFonts w:ascii="Aptos" w:hAnsi="Aptos"/>
                <w:b w:val="0"/>
                <w:sz w:val="16"/>
              </w:rPr>
              <w:t>0-15</w:t>
            </w:r>
          </w:p>
        </w:tc>
        <w:tc>
          <w:tcPr>
            <w:tcW w:type="dxa" w:w="6000"/>
            <w:shd w:fill="FFFFFF"/>
            <w:vAlign w:val="top"/>
          </w:tcPr>
          <w:p>
            <w:pPr>
              <w:spacing w:after="0"/>
            </w:pPr>
            <w:r/>
            <w:r>
              <w:rPr>
                <w:rFonts w:ascii="Aptos" w:hAnsi="Aptos"/>
                <w:b w:val="0"/>
                <w:sz w:val="16"/>
              </w:rPr>
              <w:t>Allowed and blocked AI actions are explicit and tied to decision rights</w:t>
            </w:r>
          </w:p>
        </w:tc>
      </w:tr>
      <w:tr>
        <w:tc>
          <w:tcPr>
            <w:tcW w:type="dxa" w:w="2500"/>
            <w:shd w:fill="F0EEE9"/>
            <w:vAlign w:val="top"/>
          </w:tcPr>
          <w:p>
            <w:pPr>
              <w:spacing w:after="0"/>
            </w:pPr>
            <w:r/>
            <w:r>
              <w:rPr>
                <w:rFonts w:ascii="Aptos" w:hAnsi="Aptos"/>
                <w:b w:val="0"/>
                <w:sz w:val="16"/>
              </w:rPr>
              <w:t>Human review and escalation</w:t>
            </w:r>
          </w:p>
        </w:tc>
        <w:tc>
          <w:tcPr>
            <w:tcW w:type="dxa" w:w="1100"/>
            <w:shd w:fill="FFFFFF"/>
            <w:vAlign w:val="top"/>
          </w:tcPr>
          <w:p>
            <w:pPr>
              <w:spacing w:after="0"/>
            </w:pPr>
            <w:r/>
            <w:r>
              <w:rPr>
                <w:rFonts w:ascii="Aptos" w:hAnsi="Aptos"/>
                <w:b w:val="0"/>
                <w:sz w:val="16"/>
              </w:rPr>
              <w:t>0-15</w:t>
            </w:r>
          </w:p>
        </w:tc>
        <w:tc>
          <w:tcPr>
            <w:tcW w:type="dxa" w:w="6000"/>
            <w:shd w:fill="FFFFFF"/>
            <w:vAlign w:val="top"/>
          </w:tcPr>
          <w:p>
            <w:pPr>
              <w:spacing w:after="0"/>
            </w:pPr>
            <w:r/>
            <w:r>
              <w:rPr>
                <w:rFonts w:ascii="Aptos" w:hAnsi="Aptos"/>
                <w:b w:val="0"/>
                <w:sz w:val="16"/>
              </w:rPr>
              <w:t>Human-in-the-loop trigger, reviewer authority, override, stop, and escalation rules are documented</w:t>
            </w:r>
          </w:p>
        </w:tc>
      </w:tr>
      <w:tr>
        <w:tc>
          <w:tcPr>
            <w:tcW w:type="dxa" w:w="2500"/>
            <w:shd w:fill="F0EEE9"/>
            <w:vAlign w:val="top"/>
          </w:tcPr>
          <w:p>
            <w:pPr>
              <w:spacing w:after="0"/>
            </w:pPr>
            <w:r/>
            <w:r>
              <w:rPr>
                <w:rFonts w:ascii="Aptos" w:hAnsi="Aptos"/>
                <w:b w:val="0"/>
                <w:sz w:val="16"/>
              </w:rPr>
              <w:t>Controls and evidence</w:t>
            </w:r>
          </w:p>
        </w:tc>
        <w:tc>
          <w:tcPr>
            <w:tcW w:type="dxa" w:w="1100"/>
            <w:shd w:fill="FFFFFF"/>
            <w:vAlign w:val="top"/>
          </w:tcPr>
          <w:p>
            <w:pPr>
              <w:spacing w:after="0"/>
            </w:pPr>
            <w:r/>
            <w:r>
              <w:rPr>
                <w:rFonts w:ascii="Aptos" w:hAnsi="Aptos"/>
                <w:b w:val="0"/>
                <w:sz w:val="16"/>
              </w:rPr>
              <w:t>0-10</w:t>
            </w:r>
          </w:p>
        </w:tc>
        <w:tc>
          <w:tcPr>
            <w:tcW w:type="dxa" w:w="6000"/>
            <w:shd w:fill="FFFFFF"/>
            <w:vAlign w:val="top"/>
          </w:tcPr>
          <w:p>
            <w:pPr>
              <w:spacing w:after="0"/>
            </w:pPr>
            <w:r/>
            <w:r>
              <w:rPr>
                <w:rFonts w:ascii="Aptos" w:hAnsi="Aptos"/>
                <w:b w:val="0"/>
                <w:sz w:val="16"/>
              </w:rPr>
              <w:t>Controls, logs, validation, monitoring, and evidence package are sufficient for impact tier</w:t>
            </w:r>
          </w:p>
        </w:tc>
      </w:tr>
      <w:tr>
        <w:tc>
          <w:tcPr>
            <w:tcW w:type="dxa" w:w="2500"/>
            <w:shd w:fill="F0EEE9"/>
            <w:vAlign w:val="top"/>
          </w:tcPr>
          <w:p>
            <w:pPr>
              <w:spacing w:after="0"/>
            </w:pPr>
            <w:r/>
            <w:r>
              <w:rPr>
                <w:rFonts w:ascii="Aptos" w:hAnsi="Aptos"/>
                <w:b w:val="0"/>
                <w:sz w:val="16"/>
              </w:rPr>
              <w:t>Value and lifecycle management</w:t>
            </w:r>
          </w:p>
        </w:tc>
        <w:tc>
          <w:tcPr>
            <w:tcW w:type="dxa" w:w="1100"/>
            <w:shd w:fill="FFFFFF"/>
            <w:vAlign w:val="top"/>
          </w:tcPr>
          <w:p>
            <w:pPr>
              <w:spacing w:after="0"/>
            </w:pPr>
            <w:r/>
            <w:r>
              <w:rPr>
                <w:rFonts w:ascii="Aptos" w:hAnsi="Aptos"/>
                <w:b w:val="0"/>
                <w:sz w:val="16"/>
              </w:rPr>
              <w:t>0-10</w:t>
            </w:r>
          </w:p>
        </w:tc>
        <w:tc>
          <w:tcPr>
            <w:tcW w:type="dxa" w:w="6000"/>
            <w:shd w:fill="FFFFFF"/>
            <w:vAlign w:val="top"/>
          </w:tcPr>
          <w:p>
            <w:pPr>
              <w:spacing w:after="0"/>
            </w:pPr>
            <w:r/>
            <w:r>
              <w:rPr>
                <w:rFonts w:ascii="Aptos" w:hAnsi="Aptos"/>
                <w:b w:val="0"/>
                <w:sz w:val="16"/>
              </w:rPr>
              <w:t>Value metric, review cadence, lifecycle state, retirement criteria, and supersession path are present</w:t>
            </w:r>
          </w:p>
        </w:tc>
      </w:tr>
    </w:tbl>
    <w:p/>
    <w:p>
      <w:pPr>
        <w:pStyle w:val="Heading1"/>
      </w:pPr>
      <w:r>
        <w:t>9. Validation rules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500"/>
            <w:shd w:fill="2D3924"/>
            <w:vAlign w:val="center"/>
          </w:tcPr>
          <w:p>
            <w:pPr>
              <w:spacing w:after="0"/>
            </w:pPr>
            <w:r/>
            <w:r>
              <w:rPr>
                <w:rFonts w:ascii="Aptos" w:hAnsi="Aptos"/>
                <w:b/>
                <w:color w:val="FFFFFF"/>
                <w:sz w:val="16"/>
              </w:rPr>
              <w:t>Rule</w:t>
            </w:r>
          </w:p>
        </w:tc>
        <w:tc>
          <w:tcPr>
            <w:tcW w:type="dxa" w:w="7100"/>
            <w:shd w:fill="2D3924"/>
            <w:vAlign w:val="center"/>
          </w:tcPr>
          <w:p>
            <w:pPr>
              <w:spacing w:after="0"/>
            </w:pPr>
            <w:r/>
            <w:r>
              <w:rPr>
                <w:rFonts w:ascii="Aptos" w:hAnsi="Aptos"/>
                <w:b/>
                <w:color w:val="FFFFFF"/>
                <w:sz w:val="16"/>
              </w:rPr>
              <w:t>Requirement</w:t>
            </w:r>
          </w:p>
        </w:tc>
      </w:tr>
      <w:tr>
        <w:tc>
          <w:tcPr>
            <w:tcW w:type="dxa" w:w="2500"/>
            <w:shd w:fill="F0EEE9"/>
            <w:vAlign w:val="top"/>
          </w:tcPr>
          <w:p>
            <w:pPr>
              <w:spacing w:after="0"/>
            </w:pPr>
            <w:r/>
            <w:r>
              <w:rPr>
                <w:rFonts w:ascii="Aptos" w:hAnsi="Aptos"/>
                <w:b w:val="0"/>
                <w:sz w:val="16"/>
              </w:rPr>
              <w:t>Owner required</w:t>
            </w:r>
          </w:p>
        </w:tc>
        <w:tc>
          <w:tcPr>
            <w:tcW w:type="dxa" w:w="7100"/>
            <w:shd w:fill="FFFFFF"/>
            <w:vAlign w:val="top"/>
          </w:tcPr>
          <w:p>
            <w:pPr>
              <w:spacing w:after="0"/>
            </w:pPr>
            <w:r/>
            <w:r>
              <w:rPr>
                <w:rFonts w:ascii="Aptos" w:hAnsi="Aptos"/>
                <w:b w:val="0"/>
                <w:sz w:val="16"/>
              </w:rPr>
              <w:t>Block use case from pilot if no accountable business owner is named.</w:t>
            </w:r>
          </w:p>
        </w:tc>
      </w:tr>
      <w:tr>
        <w:tc>
          <w:tcPr>
            <w:tcW w:type="dxa" w:w="2500"/>
            <w:shd w:fill="F0EEE9"/>
            <w:vAlign w:val="top"/>
          </w:tcPr>
          <w:p>
            <w:pPr>
              <w:spacing w:after="0"/>
            </w:pPr>
            <w:r/>
            <w:r>
              <w:rPr>
                <w:rFonts w:ascii="Aptos" w:hAnsi="Aptos"/>
                <w:b w:val="0"/>
                <w:sz w:val="16"/>
              </w:rPr>
              <w:t>Impact tier required</w:t>
            </w:r>
          </w:p>
        </w:tc>
        <w:tc>
          <w:tcPr>
            <w:tcW w:type="dxa" w:w="7100"/>
            <w:shd w:fill="FFFFFF"/>
            <w:vAlign w:val="top"/>
          </w:tcPr>
          <w:p>
            <w:pPr>
              <w:spacing w:after="0"/>
            </w:pPr>
            <w:r/>
            <w:r>
              <w:rPr>
                <w:rFonts w:ascii="Aptos" w:hAnsi="Aptos"/>
                <w:b w:val="0"/>
                <w:sz w:val="16"/>
              </w:rPr>
              <w:t>Block governance approval if impact tier, autonomy level, data sensitivity, or system access are blank.</w:t>
            </w:r>
          </w:p>
        </w:tc>
      </w:tr>
      <w:tr>
        <w:tc>
          <w:tcPr>
            <w:tcW w:type="dxa" w:w="2500"/>
            <w:shd w:fill="F0EEE9"/>
            <w:vAlign w:val="top"/>
          </w:tcPr>
          <w:p>
            <w:pPr>
              <w:spacing w:after="0"/>
            </w:pPr>
            <w:r/>
            <w:r>
              <w:rPr>
                <w:rFonts w:ascii="Aptos" w:hAnsi="Aptos"/>
                <w:b w:val="0"/>
                <w:sz w:val="16"/>
              </w:rPr>
              <w:t>Moderate-plus control rule</w:t>
            </w:r>
          </w:p>
        </w:tc>
        <w:tc>
          <w:tcPr>
            <w:tcW w:type="dxa" w:w="7100"/>
            <w:shd w:fill="FFFFFF"/>
            <w:vAlign w:val="top"/>
          </w:tcPr>
          <w:p>
            <w:pPr>
              <w:spacing w:after="0"/>
            </w:pPr>
            <w:r/>
            <w:r>
              <w:rPr>
                <w:rFonts w:ascii="Aptos" w:hAnsi="Aptos"/>
                <w:b w:val="0"/>
                <w:sz w:val="16"/>
              </w:rPr>
              <w:t>Moderate, high, critical, regulated, customer-facing, employee-impacting, financial, security, privacy, and control-impacting use cases require control ownership.</w:t>
            </w:r>
          </w:p>
        </w:tc>
      </w:tr>
      <w:tr>
        <w:tc>
          <w:tcPr>
            <w:tcW w:type="dxa" w:w="2500"/>
            <w:shd w:fill="F0EEE9"/>
            <w:vAlign w:val="top"/>
          </w:tcPr>
          <w:p>
            <w:pPr>
              <w:spacing w:after="0"/>
            </w:pPr>
            <w:r/>
            <w:r>
              <w:rPr>
                <w:rFonts w:ascii="Aptos" w:hAnsi="Aptos"/>
                <w:b w:val="0"/>
                <w:sz w:val="16"/>
              </w:rPr>
              <w:t>Source boundary rule</w:t>
            </w:r>
          </w:p>
        </w:tc>
        <w:tc>
          <w:tcPr>
            <w:tcW w:type="dxa" w:w="7100"/>
            <w:shd w:fill="FFFFFF"/>
            <w:vAlign w:val="top"/>
          </w:tcPr>
          <w:p>
            <w:pPr>
              <w:spacing w:after="0"/>
            </w:pPr>
            <w:r/>
            <w:r>
              <w:rPr>
                <w:rFonts w:ascii="Aptos" w:hAnsi="Aptos"/>
                <w:b w:val="0"/>
                <w:sz w:val="16"/>
              </w:rPr>
              <w:t>Use case cannot launch if approved sources and blocked sources are not listed.</w:t>
            </w:r>
          </w:p>
        </w:tc>
      </w:tr>
      <w:tr>
        <w:tc>
          <w:tcPr>
            <w:tcW w:type="dxa" w:w="2500"/>
            <w:shd w:fill="F0EEE9"/>
            <w:vAlign w:val="top"/>
          </w:tcPr>
          <w:p>
            <w:pPr>
              <w:spacing w:after="0"/>
            </w:pPr>
            <w:r/>
            <w:r>
              <w:rPr>
                <w:rFonts w:ascii="Aptos" w:hAnsi="Aptos"/>
                <w:b w:val="0"/>
                <w:sz w:val="16"/>
              </w:rPr>
              <w:t>Write-action rule</w:t>
            </w:r>
          </w:p>
        </w:tc>
        <w:tc>
          <w:tcPr>
            <w:tcW w:type="dxa" w:w="7100"/>
            <w:shd w:fill="FFFFFF"/>
            <w:vAlign w:val="top"/>
          </w:tcPr>
          <w:p>
            <w:pPr>
              <w:spacing w:after="0"/>
            </w:pPr>
            <w:r/>
            <w:r>
              <w:rPr>
                <w:rFonts w:ascii="Aptos" w:hAnsi="Aptos"/>
                <w:b w:val="0"/>
                <w:sz w:val="16"/>
              </w:rPr>
              <w:t>Any AI use case with write access, external communication, payment, entitlement, workflow execution, or system update needs explicit approval and control evidence.</w:t>
            </w:r>
          </w:p>
        </w:tc>
      </w:tr>
      <w:tr>
        <w:tc>
          <w:tcPr>
            <w:tcW w:type="dxa" w:w="2500"/>
            <w:shd w:fill="F0EEE9"/>
            <w:vAlign w:val="top"/>
          </w:tcPr>
          <w:p>
            <w:pPr>
              <w:spacing w:after="0"/>
            </w:pPr>
            <w:r/>
            <w:r>
              <w:rPr>
                <w:rFonts w:ascii="Aptos" w:hAnsi="Aptos"/>
                <w:b w:val="0"/>
                <w:sz w:val="16"/>
              </w:rPr>
              <w:t>Human review rule</w:t>
            </w:r>
          </w:p>
        </w:tc>
        <w:tc>
          <w:tcPr>
            <w:tcW w:type="dxa" w:w="7100"/>
            <w:shd w:fill="FFFFFF"/>
            <w:vAlign w:val="top"/>
          </w:tcPr>
          <w:p>
            <w:pPr>
              <w:spacing w:after="0"/>
            </w:pPr>
            <w:r/>
            <w:r>
              <w:rPr>
                <w:rFonts w:ascii="Aptos" w:hAnsi="Aptos"/>
                <w:b w:val="0"/>
                <w:sz w:val="16"/>
              </w:rPr>
              <w:t>High-impact or irreversible outcomes require named reviewer, review trigger, evidence package, stop rule, and escalation path.</w:t>
            </w:r>
          </w:p>
        </w:tc>
      </w:tr>
      <w:tr>
        <w:tc>
          <w:tcPr>
            <w:tcW w:type="dxa" w:w="2500"/>
            <w:shd w:fill="F0EEE9"/>
            <w:vAlign w:val="top"/>
          </w:tcPr>
          <w:p>
            <w:pPr>
              <w:spacing w:after="0"/>
            </w:pPr>
            <w:r/>
            <w:r>
              <w:rPr>
                <w:rFonts w:ascii="Aptos" w:hAnsi="Aptos"/>
                <w:b w:val="0"/>
                <w:sz w:val="16"/>
              </w:rPr>
              <w:t>Risk acceptance rule</w:t>
            </w:r>
          </w:p>
        </w:tc>
        <w:tc>
          <w:tcPr>
            <w:tcW w:type="dxa" w:w="7100"/>
            <w:shd w:fill="FFFFFF"/>
            <w:vAlign w:val="top"/>
          </w:tcPr>
          <w:p>
            <w:pPr>
              <w:spacing w:after="0"/>
            </w:pPr>
            <w:r/>
            <w:r>
              <w:rPr>
                <w:rFonts w:ascii="Aptos" w:hAnsi="Aptos"/>
                <w:b w:val="0"/>
                <w:sz w:val="16"/>
              </w:rPr>
              <w:t>Accepted residual risk must have owner, expiration date, evidence, compensating controls, and review cadence.</w:t>
            </w:r>
          </w:p>
        </w:tc>
      </w:tr>
      <w:tr>
        <w:tc>
          <w:tcPr>
            <w:tcW w:type="dxa" w:w="2500"/>
            <w:shd w:fill="F0EEE9"/>
            <w:vAlign w:val="top"/>
          </w:tcPr>
          <w:p>
            <w:pPr>
              <w:spacing w:after="0"/>
            </w:pPr>
            <w:r/>
            <w:r>
              <w:rPr>
                <w:rFonts w:ascii="Aptos" w:hAnsi="Aptos"/>
                <w:b w:val="0"/>
                <w:sz w:val="16"/>
              </w:rPr>
              <w:t>Monitoring rule</w:t>
            </w:r>
          </w:p>
        </w:tc>
        <w:tc>
          <w:tcPr>
            <w:tcW w:type="dxa" w:w="7100"/>
            <w:shd w:fill="FFFFFF"/>
            <w:vAlign w:val="top"/>
          </w:tcPr>
          <w:p>
            <w:pPr>
              <w:spacing w:after="0"/>
            </w:pPr>
            <w:r/>
            <w:r>
              <w:rPr>
                <w:rFonts w:ascii="Aptos" w:hAnsi="Aptos"/>
                <w:b w:val="0"/>
                <w:sz w:val="16"/>
              </w:rPr>
              <w:t>Production and scaled use cases require performance, quality, drift, incident, override, adoption, and value monitoring.</w:t>
            </w:r>
          </w:p>
        </w:tc>
      </w:tr>
      <w:tr>
        <w:tc>
          <w:tcPr>
            <w:tcW w:type="dxa" w:w="2500"/>
            <w:shd w:fill="F0EEE9"/>
            <w:vAlign w:val="top"/>
          </w:tcPr>
          <w:p>
            <w:pPr>
              <w:spacing w:after="0"/>
            </w:pPr>
            <w:r/>
            <w:r>
              <w:rPr>
                <w:rFonts w:ascii="Aptos" w:hAnsi="Aptos"/>
                <w:b w:val="0"/>
                <w:sz w:val="16"/>
              </w:rPr>
              <w:t>Supersession rule</w:t>
            </w:r>
          </w:p>
        </w:tc>
        <w:tc>
          <w:tcPr>
            <w:tcW w:type="dxa" w:w="7100"/>
            <w:shd w:fill="FFFFFF"/>
            <w:vAlign w:val="top"/>
          </w:tcPr>
          <w:p>
            <w:pPr>
              <w:spacing w:after="0"/>
            </w:pPr>
            <w:r/>
            <w:r>
              <w:rPr>
                <w:rFonts w:ascii="Aptos" w:hAnsi="Aptos"/>
                <w:b w:val="0"/>
                <w:sz w:val="16"/>
              </w:rPr>
              <w:t>Retired, paused, restricted, or superseded use cases must preserve decision and evidence trail.</w:t>
            </w:r>
          </w:p>
        </w:tc>
      </w:tr>
    </w:tbl>
    <w:p/>
    <w:p>
      <w:pPr>
        <w:pStyle w:val="Heading1"/>
      </w:pPr>
      <w:r>
        <w:t>10. Mapping rules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800"/>
            <w:shd w:fill="2D3924"/>
            <w:vAlign w:val="center"/>
          </w:tcPr>
          <w:p>
            <w:pPr>
              <w:spacing w:after="0"/>
            </w:pPr>
            <w:r/>
            <w:r>
              <w:rPr>
                <w:rFonts w:ascii="Aptos" w:hAnsi="Aptos"/>
                <w:b/>
                <w:color w:val="FFFFFF"/>
                <w:sz w:val="16"/>
              </w:rPr>
              <w:t>LPM object or system</w:t>
            </w:r>
          </w:p>
        </w:tc>
        <w:tc>
          <w:tcPr>
            <w:tcW w:type="dxa" w:w="6800"/>
            <w:shd w:fill="2D3924"/>
            <w:vAlign w:val="center"/>
          </w:tcPr>
          <w:p>
            <w:pPr>
              <w:spacing w:after="0"/>
            </w:pPr>
            <w:r/>
            <w:r>
              <w:rPr>
                <w:rFonts w:ascii="Aptos" w:hAnsi="Aptos"/>
                <w:b/>
                <w:color w:val="FFFFFF"/>
                <w:sz w:val="16"/>
              </w:rPr>
              <w:t>Mapped fields</w:t>
            </w:r>
          </w:p>
        </w:tc>
      </w:tr>
      <w:tr>
        <w:tc>
          <w:tcPr>
            <w:tcW w:type="dxa" w:w="2800"/>
            <w:shd w:fill="F0EEE9"/>
            <w:vAlign w:val="top"/>
          </w:tcPr>
          <w:p>
            <w:pPr>
              <w:spacing w:after="0"/>
            </w:pPr>
            <w:r/>
            <w:r>
              <w:rPr>
                <w:rFonts w:ascii="Aptos" w:hAnsi="Aptos"/>
                <w:b w:val="0"/>
                <w:sz w:val="16"/>
              </w:rPr>
              <w:t>Ownership Map</w:t>
            </w:r>
          </w:p>
        </w:tc>
        <w:tc>
          <w:tcPr>
            <w:tcW w:type="dxa" w:w="6800"/>
            <w:shd w:fill="FFFFFF"/>
            <w:vAlign w:val="top"/>
          </w:tcPr>
          <w:p>
            <w:pPr>
              <w:spacing w:after="0"/>
            </w:pPr>
            <w:r/>
            <w:r>
              <w:rPr>
                <w:rFonts w:ascii="Aptos" w:hAnsi="Aptos"/>
                <w:b w:val="0"/>
                <w:sz w:val="16"/>
              </w:rPr>
              <w:t>Accountable business owner, technical owner, data owner, control owner, executive sponsor</w:t>
            </w:r>
          </w:p>
        </w:tc>
      </w:tr>
      <w:tr>
        <w:tc>
          <w:tcPr>
            <w:tcW w:type="dxa" w:w="2800"/>
            <w:shd w:fill="F0EEE9"/>
            <w:vAlign w:val="top"/>
          </w:tcPr>
          <w:p>
            <w:pPr>
              <w:spacing w:after="0"/>
            </w:pPr>
            <w:r/>
            <w:r>
              <w:rPr>
                <w:rFonts w:ascii="Aptos" w:hAnsi="Aptos"/>
                <w:b w:val="0"/>
                <w:sz w:val="16"/>
              </w:rPr>
              <w:t>Decision Rights Model</w:t>
            </w:r>
          </w:p>
        </w:tc>
        <w:tc>
          <w:tcPr>
            <w:tcW w:type="dxa" w:w="6800"/>
            <w:shd w:fill="FFFFFF"/>
            <w:vAlign w:val="top"/>
          </w:tcPr>
          <w:p>
            <w:pPr>
              <w:spacing w:after="0"/>
            </w:pPr>
            <w:r/>
            <w:r>
              <w:rPr>
                <w:rFonts w:ascii="Aptos" w:hAnsi="Aptos"/>
                <w:b w:val="0"/>
                <w:sz w:val="16"/>
              </w:rPr>
              <w:t>AI action boundary, decision owner, approval authority, escalation path</w:t>
            </w:r>
          </w:p>
        </w:tc>
      </w:tr>
      <w:tr>
        <w:tc>
          <w:tcPr>
            <w:tcW w:type="dxa" w:w="2800"/>
            <w:shd w:fill="F0EEE9"/>
            <w:vAlign w:val="top"/>
          </w:tcPr>
          <w:p>
            <w:pPr>
              <w:spacing w:after="0"/>
            </w:pPr>
            <w:r/>
            <w:r>
              <w:rPr>
                <w:rFonts w:ascii="Aptos" w:hAnsi="Aptos"/>
                <w:b w:val="0"/>
                <w:sz w:val="16"/>
              </w:rPr>
              <w:t>Human-in-the-Loop Model</w:t>
            </w:r>
          </w:p>
        </w:tc>
        <w:tc>
          <w:tcPr>
            <w:tcW w:type="dxa" w:w="6800"/>
            <w:shd w:fill="FFFFFF"/>
            <w:vAlign w:val="top"/>
          </w:tcPr>
          <w:p>
            <w:pPr>
              <w:spacing w:after="0"/>
            </w:pPr>
            <w:r/>
            <w:r>
              <w:rPr>
                <w:rFonts w:ascii="Aptos" w:hAnsi="Aptos"/>
                <w:b w:val="0"/>
                <w:sz w:val="16"/>
              </w:rPr>
              <w:t>Review trigger, reviewer authority, evidence package, override and stop rules</w:t>
            </w:r>
          </w:p>
        </w:tc>
      </w:tr>
      <w:tr>
        <w:tc>
          <w:tcPr>
            <w:tcW w:type="dxa" w:w="2800"/>
            <w:shd w:fill="F0EEE9"/>
            <w:vAlign w:val="top"/>
          </w:tcPr>
          <w:p>
            <w:pPr>
              <w:spacing w:after="0"/>
            </w:pPr>
            <w:r/>
            <w:r>
              <w:rPr>
                <w:rFonts w:ascii="Aptos" w:hAnsi="Aptos"/>
                <w:b w:val="0"/>
                <w:sz w:val="16"/>
              </w:rPr>
              <w:t>Source-of-Truth Map</w:t>
            </w:r>
          </w:p>
        </w:tc>
        <w:tc>
          <w:tcPr>
            <w:tcW w:type="dxa" w:w="6800"/>
            <w:shd w:fill="FFFFFF"/>
            <w:vAlign w:val="top"/>
          </w:tcPr>
          <w:p>
            <w:pPr>
              <w:spacing w:after="0"/>
            </w:pPr>
            <w:r/>
            <w:r>
              <w:rPr>
                <w:rFonts w:ascii="Aptos" w:hAnsi="Aptos"/>
                <w:b w:val="0"/>
                <w:sz w:val="16"/>
              </w:rPr>
              <w:t>Approved sources, blocked sources, system of record, freshness, lineage</w:t>
            </w:r>
          </w:p>
        </w:tc>
      </w:tr>
      <w:tr>
        <w:tc>
          <w:tcPr>
            <w:tcW w:type="dxa" w:w="2800"/>
            <w:shd w:fill="F0EEE9"/>
            <w:vAlign w:val="top"/>
          </w:tcPr>
          <w:p>
            <w:pPr>
              <w:spacing w:after="0"/>
            </w:pPr>
            <w:r/>
            <w:r>
              <w:rPr>
                <w:rFonts w:ascii="Aptos" w:hAnsi="Aptos"/>
                <w:b w:val="0"/>
                <w:sz w:val="16"/>
              </w:rPr>
              <w:t>Data Lineage Map</w:t>
            </w:r>
          </w:p>
        </w:tc>
        <w:tc>
          <w:tcPr>
            <w:tcW w:type="dxa" w:w="6800"/>
            <w:shd w:fill="FFFFFF"/>
            <w:vAlign w:val="top"/>
          </w:tcPr>
          <w:p>
            <w:pPr>
              <w:spacing w:after="0"/>
            </w:pPr>
            <w:r/>
            <w:r>
              <w:rPr>
                <w:rFonts w:ascii="Aptos" w:hAnsi="Aptos"/>
                <w:b w:val="0"/>
                <w:sz w:val="16"/>
              </w:rPr>
              <w:t>Data movement, transformation, model input, output, dashboard, decision, and control evidence</w:t>
            </w:r>
          </w:p>
        </w:tc>
      </w:tr>
      <w:tr>
        <w:tc>
          <w:tcPr>
            <w:tcW w:type="dxa" w:w="2800"/>
            <w:shd w:fill="F0EEE9"/>
            <w:vAlign w:val="top"/>
          </w:tcPr>
          <w:p>
            <w:pPr>
              <w:spacing w:after="0"/>
            </w:pPr>
            <w:r/>
            <w:r>
              <w:rPr>
                <w:rFonts w:ascii="Aptos" w:hAnsi="Aptos"/>
                <w:b w:val="0"/>
                <w:sz w:val="16"/>
              </w:rPr>
              <w:t>Control Map</w:t>
            </w:r>
          </w:p>
        </w:tc>
        <w:tc>
          <w:tcPr>
            <w:tcW w:type="dxa" w:w="6800"/>
            <w:shd w:fill="FFFFFF"/>
            <w:vAlign w:val="top"/>
          </w:tcPr>
          <w:p>
            <w:pPr>
              <w:spacing w:after="0"/>
            </w:pPr>
            <w:r/>
            <w:r>
              <w:rPr>
                <w:rFonts w:ascii="Aptos" w:hAnsi="Aptos"/>
                <w:b w:val="0"/>
                <w:sz w:val="16"/>
              </w:rPr>
              <w:t>Preventive, detective, corrective, access, privacy, security, and operational controls</w:t>
            </w:r>
          </w:p>
        </w:tc>
      </w:tr>
      <w:tr>
        <w:tc>
          <w:tcPr>
            <w:tcW w:type="dxa" w:w="2800"/>
            <w:shd w:fill="F0EEE9"/>
            <w:vAlign w:val="top"/>
          </w:tcPr>
          <w:p>
            <w:pPr>
              <w:spacing w:after="0"/>
            </w:pPr>
            <w:r/>
            <w:r>
              <w:rPr>
                <w:rFonts w:ascii="Aptos" w:hAnsi="Aptos"/>
                <w:b w:val="0"/>
                <w:sz w:val="16"/>
              </w:rPr>
              <w:t>Risk Acceptance Register</w:t>
            </w:r>
          </w:p>
        </w:tc>
        <w:tc>
          <w:tcPr>
            <w:tcW w:type="dxa" w:w="6800"/>
            <w:shd w:fill="FFFFFF"/>
            <w:vAlign w:val="top"/>
          </w:tcPr>
          <w:p>
            <w:pPr>
              <w:spacing w:after="0"/>
            </w:pPr>
            <w:r/>
            <w:r>
              <w:rPr>
                <w:rFonts w:ascii="Aptos" w:hAnsi="Aptos"/>
                <w:b w:val="0"/>
                <w:sz w:val="16"/>
              </w:rPr>
              <w:t>Accepted residual risk, expiration, compensating controls, and review obligations</w:t>
            </w:r>
          </w:p>
        </w:tc>
      </w:tr>
      <w:tr>
        <w:tc>
          <w:tcPr>
            <w:tcW w:type="dxa" w:w="2800"/>
            <w:shd w:fill="F0EEE9"/>
            <w:vAlign w:val="top"/>
          </w:tcPr>
          <w:p>
            <w:pPr>
              <w:spacing w:after="0"/>
            </w:pPr>
            <w:r/>
            <w:r>
              <w:rPr>
                <w:rFonts w:ascii="Aptos" w:hAnsi="Aptos"/>
                <w:b w:val="0"/>
                <w:sz w:val="16"/>
              </w:rPr>
              <w:t>Agent Accountability Checklist</w:t>
            </w:r>
          </w:p>
        </w:tc>
        <w:tc>
          <w:tcPr>
            <w:tcW w:type="dxa" w:w="6800"/>
            <w:shd w:fill="FFFFFF"/>
            <w:vAlign w:val="top"/>
          </w:tcPr>
          <w:p>
            <w:pPr>
              <w:spacing w:after="0"/>
            </w:pPr>
            <w:r/>
            <w:r>
              <w:rPr>
                <w:rFonts w:ascii="Aptos" w:hAnsi="Aptos"/>
                <w:b w:val="0"/>
                <w:sz w:val="16"/>
              </w:rPr>
              <w:t>Agent owner, permissions, tools, memory, logs, incidents, and lifecycle</w:t>
            </w:r>
          </w:p>
        </w:tc>
      </w:tr>
      <w:tr>
        <w:tc>
          <w:tcPr>
            <w:tcW w:type="dxa" w:w="2800"/>
            <w:shd w:fill="F0EEE9"/>
            <w:vAlign w:val="top"/>
          </w:tcPr>
          <w:p>
            <w:pPr>
              <w:spacing w:after="0"/>
            </w:pPr>
            <w:r/>
            <w:r>
              <w:rPr>
                <w:rFonts w:ascii="Aptos" w:hAnsi="Aptos"/>
                <w:b w:val="0"/>
                <w:sz w:val="16"/>
              </w:rPr>
              <w:t>Lapemo platform</w:t>
            </w:r>
          </w:p>
        </w:tc>
        <w:tc>
          <w:tcPr>
            <w:tcW w:type="dxa" w:w="6800"/>
            <w:shd w:fill="FFFFFF"/>
            <w:vAlign w:val="top"/>
          </w:tcPr>
          <w:p>
            <w:pPr>
              <w:spacing w:after="0"/>
            </w:pPr>
            <w:r/>
            <w:r>
              <w:rPr>
                <w:rFonts w:ascii="Aptos" w:hAnsi="Aptos"/>
                <w:b w:val="0"/>
                <w:sz w:val="16"/>
              </w:rPr>
              <w:t>Register row becomes an ingestible control-plane object with status, score, owner, risk, evidence, and lifecycle links</w:t>
            </w:r>
          </w:p>
        </w:tc>
      </w:tr>
    </w:tbl>
    <w:p/>
    <w:p>
      <w:pPr>
        <w:pStyle w:val="Heading1"/>
      </w:pPr>
      <w:r>
        <w:t>11. AI prompt starters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400"/>
            <w:shd w:fill="2D3924"/>
            <w:vAlign w:val="center"/>
          </w:tcPr>
          <w:p>
            <w:pPr>
              <w:spacing w:after="0"/>
            </w:pPr>
            <w:r/>
            <w:r>
              <w:rPr>
                <w:rFonts w:ascii="Aptos" w:hAnsi="Aptos"/>
                <w:b/>
                <w:color w:val="FFFFFF"/>
                <w:sz w:val="16"/>
              </w:rPr>
              <w:t>Prompt purpose</w:t>
            </w:r>
          </w:p>
        </w:tc>
        <w:tc>
          <w:tcPr>
            <w:tcW w:type="dxa" w:w="7200"/>
            <w:shd w:fill="2D3924"/>
            <w:vAlign w:val="center"/>
          </w:tcPr>
          <w:p>
            <w:pPr>
              <w:spacing w:after="0"/>
            </w:pPr>
            <w:r/>
            <w:r>
              <w:rPr>
                <w:rFonts w:ascii="Aptos" w:hAnsi="Aptos"/>
                <w:b/>
                <w:color w:val="FFFFFF"/>
                <w:sz w:val="16"/>
              </w:rPr>
              <w:t>Prompt</w:t>
            </w:r>
          </w:p>
        </w:tc>
      </w:tr>
      <w:tr>
        <w:tc>
          <w:tcPr>
            <w:tcW w:type="dxa" w:w="2400"/>
            <w:shd w:fill="F0EEE9"/>
            <w:vAlign w:val="top"/>
          </w:tcPr>
          <w:p>
            <w:pPr>
              <w:spacing w:after="0"/>
            </w:pPr>
            <w:r/>
            <w:r>
              <w:rPr>
                <w:rFonts w:ascii="Aptos" w:hAnsi="Aptos"/>
                <w:b w:val="0"/>
                <w:sz w:val="16"/>
              </w:rPr>
              <w:t>Classify a use case</w:t>
            </w:r>
          </w:p>
        </w:tc>
        <w:tc>
          <w:tcPr>
            <w:tcW w:type="dxa" w:w="7200"/>
            <w:shd w:fill="FFFFFF"/>
            <w:vAlign w:val="top"/>
          </w:tcPr>
          <w:p>
            <w:pPr>
              <w:spacing w:after="0"/>
            </w:pPr>
            <w:r/>
            <w:r>
              <w:rPr>
                <w:rFonts w:ascii="Aptos" w:hAnsi="Aptos"/>
                <w:b w:val="0"/>
                <w:sz w:val="16"/>
              </w:rPr>
              <w:t>Given this AI use case description, classify AI type, impact tier, autonomy level, data sensitivity, system access, reversibility, and required governance path.</w:t>
            </w:r>
          </w:p>
        </w:tc>
      </w:tr>
      <w:tr>
        <w:tc>
          <w:tcPr>
            <w:tcW w:type="dxa" w:w="2400"/>
            <w:shd w:fill="F0EEE9"/>
            <w:vAlign w:val="top"/>
          </w:tcPr>
          <w:p>
            <w:pPr>
              <w:spacing w:after="0"/>
            </w:pPr>
            <w:r/>
            <w:r>
              <w:rPr>
                <w:rFonts w:ascii="Aptos" w:hAnsi="Aptos"/>
                <w:b w:val="0"/>
                <w:sz w:val="16"/>
              </w:rPr>
              <w:t>Find missing fields</w:t>
            </w:r>
          </w:p>
        </w:tc>
        <w:tc>
          <w:tcPr>
            <w:tcW w:type="dxa" w:w="7200"/>
            <w:shd w:fill="FFFFFF"/>
            <w:vAlign w:val="top"/>
          </w:tcPr>
          <w:p>
            <w:pPr>
              <w:spacing w:after="0"/>
            </w:pPr>
            <w:r/>
            <w:r>
              <w:rPr>
                <w:rFonts w:ascii="Aptos" w:hAnsi="Aptos"/>
                <w:b w:val="0"/>
                <w:sz w:val="16"/>
              </w:rPr>
              <w:t>Review this AI use case register row and identify missing ownership, decision rights, source, control, evidence, monitoring, and lifecycle fields.</w:t>
            </w:r>
          </w:p>
        </w:tc>
      </w:tr>
      <w:tr>
        <w:tc>
          <w:tcPr>
            <w:tcW w:type="dxa" w:w="2400"/>
            <w:shd w:fill="F0EEE9"/>
            <w:vAlign w:val="top"/>
          </w:tcPr>
          <w:p>
            <w:pPr>
              <w:spacing w:after="0"/>
            </w:pPr>
            <w:r/>
            <w:r>
              <w:rPr>
                <w:rFonts w:ascii="Aptos" w:hAnsi="Aptos"/>
                <w:b w:val="0"/>
                <w:sz w:val="16"/>
              </w:rPr>
              <w:t>Generate a launch gate</w:t>
            </w:r>
          </w:p>
        </w:tc>
        <w:tc>
          <w:tcPr>
            <w:tcW w:type="dxa" w:w="7200"/>
            <w:shd w:fill="FFFFFF"/>
            <w:vAlign w:val="top"/>
          </w:tcPr>
          <w:p>
            <w:pPr>
              <w:spacing w:after="0"/>
            </w:pPr>
            <w:r/>
            <w:r>
              <w:rPr>
                <w:rFonts w:ascii="Aptos" w:hAnsi="Aptos"/>
                <w:b w:val="0"/>
                <w:sz w:val="16"/>
              </w:rPr>
              <w:t>Create a launch gate checklist for this AI use case based on its impact tier, allowed actions, data sources, and human-in-the-loop rule.</w:t>
            </w:r>
          </w:p>
        </w:tc>
      </w:tr>
      <w:tr>
        <w:tc>
          <w:tcPr>
            <w:tcW w:type="dxa" w:w="2400"/>
            <w:shd w:fill="F0EEE9"/>
            <w:vAlign w:val="top"/>
          </w:tcPr>
          <w:p>
            <w:pPr>
              <w:spacing w:after="0"/>
            </w:pPr>
            <w:r/>
            <w:r>
              <w:rPr>
                <w:rFonts w:ascii="Aptos" w:hAnsi="Aptos"/>
                <w:b w:val="0"/>
                <w:sz w:val="16"/>
              </w:rPr>
              <w:t>Draft risk questions</w:t>
            </w:r>
          </w:p>
        </w:tc>
        <w:tc>
          <w:tcPr>
            <w:tcW w:type="dxa" w:w="7200"/>
            <w:shd w:fill="FFFFFF"/>
            <w:vAlign w:val="top"/>
          </w:tcPr>
          <w:p>
            <w:pPr>
              <w:spacing w:after="0"/>
            </w:pPr>
            <w:r/>
            <w:r>
              <w:rPr>
                <w:rFonts w:ascii="Aptos" w:hAnsi="Aptos"/>
                <w:b w:val="0"/>
                <w:sz w:val="16"/>
              </w:rPr>
              <w:t>Generate governance questions that risk, legal, security, privacy, architecture, and control owners should answer before this use case proceeds.</w:t>
            </w:r>
          </w:p>
        </w:tc>
      </w:tr>
      <w:tr>
        <w:tc>
          <w:tcPr>
            <w:tcW w:type="dxa" w:w="2400"/>
            <w:shd w:fill="F0EEE9"/>
            <w:vAlign w:val="top"/>
          </w:tcPr>
          <w:p>
            <w:pPr>
              <w:spacing w:after="0"/>
            </w:pPr>
            <w:r/>
            <w:r>
              <w:rPr>
                <w:rFonts w:ascii="Aptos" w:hAnsi="Aptos"/>
                <w:b w:val="0"/>
                <w:sz w:val="16"/>
              </w:rPr>
              <w:t>Recommend lifecycle status</w:t>
            </w:r>
          </w:p>
        </w:tc>
        <w:tc>
          <w:tcPr>
            <w:tcW w:type="dxa" w:w="7200"/>
            <w:shd w:fill="FFFFFF"/>
            <w:vAlign w:val="top"/>
          </w:tcPr>
          <w:p>
            <w:pPr>
              <w:spacing w:after="0"/>
            </w:pPr>
            <w:r/>
            <w:r>
              <w:rPr>
                <w:rFonts w:ascii="Aptos" w:hAnsi="Aptos"/>
                <w:b w:val="0"/>
                <w:sz w:val="16"/>
              </w:rPr>
              <w:t>Based on this use case evidence, incidents, monitoring signals, and value metrics, recommend whether it should remain in pilot, move to production, pause, restrict, scale, retire, or supersede.</w:t>
            </w:r>
          </w:p>
        </w:tc>
      </w:tr>
    </w:tbl>
    <w:p/>
    <w:p>
      <w:pPr>
        <w:pStyle w:val="Heading1"/>
      </w:pPr>
      <w:r>
        <w:t>12. Operating cadence and reuse model</w:t>
      </w:r>
    </w:p>
    <w:p>
      <w:pPr>
        <w:ind w:left="288"/>
      </w:pPr>
      <w:r>
        <w:rPr>
          <w:sz w:val="19"/>
        </w:rPr>
        <w:t>• Intake review: weekly for active design partners or AI-heavy functions.</w:t>
      </w:r>
    </w:p>
    <w:p>
      <w:pPr>
        <w:ind w:left="288"/>
      </w:pPr>
      <w:r>
        <w:rPr>
          <w:sz w:val="19"/>
        </w:rPr>
        <w:t>• Governance review: monthly for active pilot and production use cases.</w:t>
      </w:r>
    </w:p>
    <w:p>
      <w:pPr>
        <w:ind w:left="288"/>
      </w:pPr>
      <w:r>
        <w:rPr>
          <w:sz w:val="19"/>
        </w:rPr>
        <w:t>• Executive review: quarterly for scaled, high-impact, regulated, or cross-enterprise AI use.</w:t>
      </w:r>
    </w:p>
    <w:p>
      <w:pPr>
        <w:ind w:left="288"/>
      </w:pPr>
      <w:r>
        <w:rPr>
          <w:sz w:val="19"/>
        </w:rPr>
        <w:t>• Triggered review: required after model change, vendor change, source change, policy change, incident, control failure, significant drift, or scope expansion.</w:t>
      </w:r>
    </w:p>
    <w:p>
      <w:pPr>
        <w:ind w:left="288"/>
      </w:pPr>
      <w:r>
        <w:rPr>
          <w:sz w:val="19"/>
        </w:rPr>
        <w:t>• Reuse model: this artifact should exist as a human guide, downloadable template, machine-readable JSON object, and guided Lapemo skill. Systems can recommend updates, but accountable humans approve changes.</w:t>
      </w:r>
    </w:p>
    <w:sectPr w:rsidR="00FC693F" w:rsidRPr="0006063C" w:rsidSect="00034616">
      <w:footerReference w:type="default" r:id="rId9"/>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605A"/>
        <w:sz w:val="16"/>
      </w:rPr>
      <w:t>AI Use Case Governance Register | LPM / Lapemo | v1.0 | 2026-06-24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B1C19"/>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2D3924"/>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556348"/>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8231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D3924"/>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Use Case Governance Register</dc:title>
  <dc:subject>Reusable LPM Knowledge Object for AI Amplification</dc:subject>
  <dc:creator>LPM / Lapemo</dc:creator>
  <cp:keywords>LPM, Lapemo, AI governance, AI use case, register, AI Amplification</cp:keywords>
  <dc:description>Generated as a reusable knowledge object package.</dc:description>
  <cp:lastModifiedBy/>
  <cp:revision>1</cp:revision>
  <dcterms:created xsi:type="dcterms:W3CDTF">2013-12-23T23:15:00Z</dcterms:created>
  <dcterms:modified xsi:type="dcterms:W3CDTF">2013-12-23T23:15:00Z</dcterms:modified>
  <cp:category/>
</cp:coreProperties>
</file>