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2D3924"/>
          <w:sz w:val="60"/>
        </w:rPr>
        <w:t>Control Map</w:t>
      </w:r>
    </w:p>
    <w:p>
      <w:r>
        <w:rPr>
          <w:color w:val="5E605A"/>
          <w:sz w:val="24"/>
        </w:rPr>
        <w:t>Reusable LPM Knowledge Object for governance controls, evidence, ownership, and AI-safe operating boundaries</w:t>
      </w:r>
    </w:p>
    <w:p/>
    <w:tbl>
      <w:tblPr>
        <w:tblW w:type="auto" w:w="0"/>
        <w:tblLook w:firstColumn="1" w:firstRow="1" w:lastColumn="0" w:lastRow="0" w:noHBand="0" w:noVBand="1" w:val="04A0"/>
      </w:tblPr>
      <w:tblGrid>
        <w:gridCol w:w="10656"/>
      </w:tblGrid>
      <w:tr>
        <w:tc>
          <w:tcPr>
            <w:tcW w:type="dxa" w:w="10656"/>
            <w:shd w:fill="D9E8C7"/>
          </w:tcPr>
          <w:p>
            <w:r>
              <w:rPr>
                <w:color w:val="1B1C19"/>
                <w:sz w:val="19"/>
              </w:rPr>
              <w:t>Use this Control Map to make enterprise controls visible, owned, testable, and connected to the operating model. The map defines what is being controlled, why the control exists, who owns it, which systems and data it depends on, what evidence proves it is working, how AI is allowed to interact with it, and what happens when the control fails. It is designed for companies scaling AI where static policy, scattered approvals, and undocumented controls cannot protect a hybrid human and machine workforce.</w:t>
            </w:r>
          </w:p>
        </w:tc>
      </w:tr>
    </w:tbl>
    <w:p>
      <w:pPr>
        <w:spacing w:after="100"/>
      </w:pPr>
      <w:r>
        <w:rPr>
          <w:rFonts w:ascii="Aptos" w:hAnsi="Aptos"/>
          <w:color w:val="1B1C19"/>
          <w:sz w:val="18"/>
        </w:rPr>
        <w:t>Built for three company profiles: 500+ employees, 5,000+ employees, and 10,000+ employees. Use it as a website artifact, workshop guide, governance control design tool, and future Lapemo guided skill.</w:t>
      </w:r>
    </w:p>
    <w:p>
      <w:pPr>
        <w:pStyle w:val="Heading1"/>
      </w:pPr>
      <w:r>
        <w:rPr>
          <w:rFonts w:ascii="Aptos Display" w:hAnsi="Aptos Display"/>
          <w:color w:val="2D3924"/>
        </w:rPr>
        <w:t>Metadata</w:t>
      </w:r>
    </w:p>
    <w:tbl>
      <w:tblPr>
        <w:tblStyle w:val="TableGrid"/>
        <w:tblW w:type="auto" w:w="0"/>
        <w:jc w:val="center"/>
        <w:tblLook w:firstColumn="1" w:firstRow="1" w:lastColumn="0" w:lastRow="0" w:noHBand="0" w:noVBand="1" w:val="04A0"/>
      </w:tblPr>
      <w:tblGrid>
        <w:gridCol w:w="5328"/>
        <w:gridCol w:w="5328"/>
      </w:tblGrid>
      <w:tr>
        <w:trPr>
          <w:cantSplit/>
        </w:trPr>
        <w:tc>
          <w:tcPr>
            <w:tcW w:type="dxa" w:w="1800"/>
            <w:vAlign w:val="top"/>
            <w:shd w:fill="2D3924"/>
          </w:tcPr>
          <w:p>
            <w:pPr>
              <w:spacing w:after="20" w:before="0" w:line="240" w:lineRule="auto"/>
            </w:pPr>
            <w:r>
              <w:rPr>
                <w:b/>
                <w:color w:val="FFFFFF"/>
                <w:sz w:val="15"/>
              </w:rPr>
              <w:t>Metadata</w:t>
            </w:r>
          </w:p>
        </w:tc>
        <w:tc>
          <w:tcPr>
            <w:tcW w:type="dxa" w:w="7200"/>
            <w:vAlign w:val="top"/>
            <w:shd w:fill="2D3924"/>
          </w:tcPr>
          <w:p>
            <w:pPr>
              <w:spacing w:after="20" w:before="0" w:line="240" w:lineRule="auto"/>
            </w:pPr>
            <w:r>
              <w:rPr>
                <w:b/>
                <w:color w:val="FFFFFF"/>
                <w:sz w:val="15"/>
              </w:rPr>
              <w:t>Value</w:t>
            </w:r>
          </w:p>
        </w:tc>
      </w:tr>
      <w:tr>
        <w:trPr>
          <w:cantSplit/>
        </w:trPr>
        <w:tc>
          <w:tcPr>
            <w:tcW w:type="dxa" w:w="1800"/>
            <w:vAlign w:val="top"/>
          </w:tcPr>
          <w:p>
            <w:pPr>
              <w:spacing w:after="20" w:before="0" w:line="240" w:lineRule="auto"/>
            </w:pPr>
            <w:r>
              <w:rPr>
                <w:color w:val="1B1C19"/>
                <w:sz w:val="14"/>
              </w:rPr>
              <w:t>Object type</w:t>
            </w:r>
          </w:p>
        </w:tc>
        <w:tc>
          <w:tcPr>
            <w:tcW w:type="dxa" w:w="7200"/>
            <w:vAlign w:val="top"/>
          </w:tcPr>
          <w:p>
            <w:pPr>
              <w:spacing w:after="20" w:before="0" w:line="240" w:lineRule="auto"/>
            </w:pPr>
            <w:r>
              <w:rPr>
                <w:color w:val="1B1C19"/>
                <w:sz w:val="14"/>
              </w:rPr>
              <w:t>LPM Knowledge Object</w:t>
            </w:r>
          </w:p>
        </w:tc>
      </w:tr>
      <w:tr>
        <w:trPr>
          <w:cantSplit/>
        </w:trPr>
        <w:tc>
          <w:tcPr>
            <w:tcW w:type="dxa" w:w="1800"/>
            <w:vAlign w:val="top"/>
            <w:shd w:fill="F0EEE9"/>
          </w:tcPr>
          <w:p>
            <w:pPr>
              <w:spacing w:after="20" w:before="0" w:line="240" w:lineRule="auto"/>
            </w:pPr>
            <w:r>
              <w:rPr>
                <w:color w:val="1B1C19"/>
                <w:sz w:val="14"/>
              </w:rPr>
              <w:t>Primary LPM layer</w:t>
            </w:r>
          </w:p>
        </w:tc>
        <w:tc>
          <w:tcPr>
            <w:tcW w:type="dxa" w:w="7200"/>
            <w:vAlign w:val="top"/>
            <w:shd w:fill="F0EEE9"/>
          </w:tcPr>
          <w:p>
            <w:pPr>
              <w:spacing w:after="20" w:before="0" w:line="240" w:lineRule="auto"/>
            </w:pPr>
            <w:r>
              <w:rPr>
                <w:color w:val="1B1C19"/>
                <w:sz w:val="14"/>
              </w:rPr>
              <w:t>Governance Architecture</w:t>
            </w:r>
          </w:p>
        </w:tc>
      </w:tr>
      <w:tr>
        <w:trPr>
          <w:cantSplit/>
        </w:trPr>
        <w:tc>
          <w:tcPr>
            <w:tcW w:type="dxa" w:w="1800"/>
            <w:vAlign w:val="top"/>
          </w:tcPr>
          <w:p>
            <w:pPr>
              <w:spacing w:after="20" w:before="0" w:line="240" w:lineRule="auto"/>
            </w:pPr>
            <w:r>
              <w:rPr>
                <w:color w:val="1B1C19"/>
                <w:sz w:val="14"/>
              </w:rPr>
              <w:t>Connected layers</w:t>
            </w:r>
          </w:p>
        </w:tc>
        <w:tc>
          <w:tcPr>
            <w:tcW w:type="dxa" w:w="7200"/>
            <w:vAlign w:val="top"/>
          </w:tcPr>
          <w:p>
            <w:pPr>
              <w:spacing w:after="20" w:before="0" w:line="240" w:lineRule="auto"/>
            </w:pPr>
            <w:r>
              <w:rPr>
                <w:color w:val="1B1C19"/>
                <w:sz w:val="14"/>
              </w:rPr>
              <w:t>Ownership Map, Decision Architecture, Information Ecology, Platform Structure, AI Amplification</w:t>
            </w:r>
          </w:p>
        </w:tc>
      </w:tr>
      <w:tr>
        <w:trPr>
          <w:cantSplit/>
        </w:trPr>
        <w:tc>
          <w:tcPr>
            <w:tcW w:type="dxa" w:w="1800"/>
            <w:vAlign w:val="top"/>
            <w:shd w:fill="F0EEE9"/>
          </w:tcPr>
          <w:p>
            <w:pPr>
              <w:spacing w:after="20" w:before="0" w:line="240" w:lineRule="auto"/>
            </w:pPr>
            <w:r>
              <w:rPr>
                <w:color w:val="1B1C19"/>
                <w:sz w:val="14"/>
              </w:rPr>
              <w:t>Primary use</w:t>
            </w:r>
          </w:p>
        </w:tc>
        <w:tc>
          <w:tcPr>
            <w:tcW w:type="dxa" w:w="7200"/>
            <w:vAlign w:val="top"/>
            <w:shd w:fill="F0EEE9"/>
          </w:tcPr>
          <w:p>
            <w:pPr>
              <w:spacing w:after="20" w:before="0" w:line="240" w:lineRule="auto"/>
            </w:pPr>
            <w:r>
              <w:rPr>
                <w:color w:val="1B1C19"/>
                <w:sz w:val="14"/>
              </w:rPr>
              <w:t>Map enterprise controls to accountable owners, risks, evidence, systems, workflows, AI boundaries, and review rules.</w:t>
            </w:r>
          </w:p>
        </w:tc>
      </w:tr>
      <w:tr>
        <w:trPr>
          <w:cantSplit/>
        </w:trPr>
        <w:tc>
          <w:tcPr>
            <w:tcW w:type="dxa" w:w="1800"/>
            <w:vAlign w:val="top"/>
          </w:tcPr>
          <w:p>
            <w:pPr>
              <w:spacing w:after="20" w:before="0" w:line="240" w:lineRule="auto"/>
            </w:pPr>
            <w:r>
              <w:rPr>
                <w:color w:val="1B1C19"/>
                <w:sz w:val="14"/>
              </w:rPr>
              <w:t>Website use</w:t>
            </w:r>
          </w:p>
        </w:tc>
        <w:tc>
          <w:tcPr>
            <w:tcW w:type="dxa" w:w="7200"/>
            <w:vAlign w:val="top"/>
          </w:tcPr>
          <w:p>
            <w:pPr>
              <w:spacing w:after="20" w:before="0" w:line="240" w:lineRule="auto"/>
            </w:pPr>
            <w:r>
              <w:rPr>
                <w:color w:val="1B1C19"/>
                <w:sz w:val="14"/>
              </w:rPr>
              <w:t>Downloadable template, governance workshop guide, AI readiness resource, JSON object for Lapemo ingestion, and future guided skill.</w:t>
            </w:r>
          </w:p>
        </w:tc>
      </w:tr>
      <w:tr>
        <w:trPr>
          <w:cantSplit/>
        </w:trPr>
        <w:tc>
          <w:tcPr>
            <w:tcW w:type="dxa" w:w="1800"/>
            <w:vAlign w:val="top"/>
            <w:shd w:fill="F0EEE9"/>
          </w:tcPr>
          <w:p>
            <w:pPr>
              <w:spacing w:after="20" w:before="0" w:line="240" w:lineRule="auto"/>
            </w:pPr>
            <w:r>
              <w:rPr>
                <w:color w:val="1B1C19"/>
                <w:sz w:val="14"/>
              </w:rPr>
              <w:t>Version</w:t>
            </w:r>
          </w:p>
        </w:tc>
        <w:tc>
          <w:tcPr>
            <w:tcW w:type="dxa" w:w="7200"/>
            <w:vAlign w:val="top"/>
            <w:shd w:fill="F0EEE9"/>
          </w:tcPr>
          <w:p>
            <w:pPr>
              <w:spacing w:after="20" w:before="0" w:line="240" w:lineRule="auto"/>
            </w:pPr>
            <w:r>
              <w:rPr>
                <w:color w:val="1B1C19"/>
                <w:sz w:val="14"/>
              </w:rPr>
              <w:t>1.0</w:t>
            </w:r>
          </w:p>
        </w:tc>
      </w:tr>
      <w:tr>
        <w:trPr>
          <w:cantSplit/>
        </w:trPr>
        <w:tc>
          <w:tcPr>
            <w:tcW w:type="dxa" w:w="1800"/>
            <w:vAlign w:val="top"/>
          </w:tcPr>
          <w:p>
            <w:pPr>
              <w:spacing w:after="20" w:before="0" w:line="240" w:lineRule="auto"/>
            </w:pPr>
            <w:r>
              <w:rPr>
                <w:color w:val="1B1C19"/>
                <w:sz w:val="14"/>
              </w:rPr>
              <w:t>Owner</w:t>
            </w:r>
          </w:p>
        </w:tc>
        <w:tc>
          <w:tcPr>
            <w:tcW w:type="dxa" w:w="7200"/>
            <w:vAlign w:val="top"/>
          </w:tcPr>
          <w:p>
            <w:pPr>
              <w:spacing w:after="20" w:before="0" w:line="240" w:lineRule="auto"/>
            </w:pPr>
            <w:r>
              <w:rPr>
                <w:color w:val="1B1C19"/>
                <w:sz w:val="14"/>
              </w:rPr>
              <w:t>LPM / Lapemo</w:t>
            </w:r>
          </w:p>
        </w:tc>
      </w:tr>
      <w:tr>
        <w:trPr>
          <w:cantSplit/>
        </w:trPr>
        <w:tc>
          <w:tcPr>
            <w:tcW w:type="dxa" w:w="1800"/>
            <w:vAlign w:val="top"/>
            <w:shd w:fill="F0EEE9"/>
          </w:tcPr>
          <w:p>
            <w:pPr>
              <w:spacing w:after="20" w:before="0" w:line="240" w:lineRule="auto"/>
            </w:pPr>
            <w:r>
              <w:rPr>
                <w:color w:val="1B1C19"/>
                <w:sz w:val="14"/>
              </w:rPr>
              <w:t>Last reviewed</w:t>
            </w:r>
          </w:p>
        </w:tc>
        <w:tc>
          <w:tcPr>
            <w:tcW w:type="dxa" w:w="7200"/>
            <w:vAlign w:val="top"/>
            <w:shd w:fill="F0EEE9"/>
          </w:tcPr>
          <w:p>
            <w:pPr>
              <w:spacing w:after="20" w:before="0" w:line="240" w:lineRule="auto"/>
            </w:pPr>
            <w:r>
              <w:rPr>
                <w:color w:val="1B1C19"/>
                <w:sz w:val="14"/>
              </w:rPr>
              <w:t>2026-06-24</w:t>
            </w:r>
          </w:p>
        </w:tc>
      </w:tr>
    </w:tbl>
    <w:p/>
    <w:p>
      <w:pPr>
        <w:pStyle w:val="Heading1"/>
      </w:pPr>
      <w:r>
        <w:rPr>
          <w:rFonts w:ascii="Aptos Display" w:hAnsi="Aptos Display"/>
          <w:color w:val="2D3924"/>
        </w:rPr>
        <w:t>Core principles</w:t>
      </w:r>
    </w:p>
    <w:tbl>
      <w:tblPr>
        <w:tblStyle w:val="TableGrid"/>
        <w:tblW w:type="auto" w:w="0"/>
        <w:jc w:val="center"/>
        <w:tblLook w:firstColumn="1" w:firstRow="1" w:lastColumn="0" w:lastRow="0" w:noHBand="0" w:noVBand="1" w:val="04A0"/>
      </w:tblPr>
      <w:tblGrid>
        <w:gridCol w:w="5328"/>
        <w:gridCol w:w="5328"/>
      </w:tblGrid>
      <w:tr>
        <w:trPr>
          <w:cantSplit/>
        </w:trPr>
        <w:tc>
          <w:tcPr>
            <w:tcW w:type="dxa" w:w="2300"/>
            <w:vAlign w:val="top"/>
            <w:shd w:fill="2D3924"/>
          </w:tcPr>
          <w:p>
            <w:pPr>
              <w:spacing w:after="20" w:before="0" w:line="240" w:lineRule="auto"/>
            </w:pPr>
            <w:r>
              <w:rPr>
                <w:b/>
                <w:color w:val="FFFFFF"/>
                <w:sz w:val="15"/>
              </w:rPr>
              <w:t>Principle</w:t>
            </w:r>
          </w:p>
        </w:tc>
        <w:tc>
          <w:tcPr>
            <w:tcW w:type="dxa" w:w="6700"/>
            <w:vAlign w:val="top"/>
            <w:shd w:fill="2D3924"/>
          </w:tcPr>
          <w:p>
            <w:pPr>
              <w:spacing w:after="20" w:before="0" w:line="240" w:lineRule="auto"/>
            </w:pPr>
            <w:r>
              <w:rPr>
                <w:b/>
                <w:color w:val="FFFFFF"/>
                <w:sz w:val="15"/>
              </w:rPr>
              <w:t>Meaning</w:t>
            </w:r>
          </w:p>
        </w:tc>
      </w:tr>
      <w:tr>
        <w:trPr>
          <w:cantSplit/>
        </w:trPr>
        <w:tc>
          <w:tcPr>
            <w:tcW w:type="dxa" w:w="2300"/>
            <w:vAlign w:val="top"/>
          </w:tcPr>
          <w:p>
            <w:pPr>
              <w:spacing w:after="20" w:before="0" w:line="240" w:lineRule="auto"/>
            </w:pPr>
            <w:r>
              <w:rPr>
                <w:color w:val="1B1C19"/>
                <w:sz w:val="14"/>
              </w:rPr>
              <w:t>Controls must be owned</w:t>
            </w:r>
          </w:p>
        </w:tc>
        <w:tc>
          <w:tcPr>
            <w:tcW w:type="dxa" w:w="6700"/>
            <w:vAlign w:val="top"/>
          </w:tcPr>
          <w:p>
            <w:pPr>
              <w:spacing w:after="20" w:before="0" w:line="240" w:lineRule="auto"/>
            </w:pPr>
            <w:r>
              <w:rPr>
                <w:color w:val="1B1C19"/>
                <w:sz w:val="14"/>
              </w:rPr>
              <w:t>Every meaningful control needs one accountable control owner and clear supporting owners across process, system, data, evidence, and AI usage.</w:t>
            </w:r>
          </w:p>
        </w:tc>
      </w:tr>
      <w:tr>
        <w:trPr>
          <w:cantSplit/>
        </w:trPr>
        <w:tc>
          <w:tcPr>
            <w:tcW w:type="dxa" w:w="2300"/>
            <w:vAlign w:val="top"/>
            <w:shd w:fill="F0EEE9"/>
          </w:tcPr>
          <w:p>
            <w:pPr>
              <w:spacing w:after="20" w:before="0" w:line="240" w:lineRule="auto"/>
            </w:pPr>
            <w:r>
              <w:rPr>
                <w:color w:val="1B1C19"/>
                <w:sz w:val="14"/>
              </w:rPr>
              <w:t>Controls must connect to work</w:t>
            </w:r>
          </w:p>
        </w:tc>
        <w:tc>
          <w:tcPr>
            <w:tcW w:type="dxa" w:w="6700"/>
            <w:vAlign w:val="top"/>
            <w:shd w:fill="F0EEE9"/>
          </w:tcPr>
          <w:p>
            <w:pPr>
              <w:spacing w:after="20" w:before="0" w:line="240" w:lineRule="auto"/>
            </w:pPr>
            <w:r>
              <w:rPr>
                <w:color w:val="1B1C19"/>
                <w:sz w:val="14"/>
              </w:rPr>
              <w:t>A control that is not connected to a workflow, decision, system, data object, or AI action boundary is only paperwork.</w:t>
            </w:r>
          </w:p>
        </w:tc>
      </w:tr>
      <w:tr>
        <w:trPr>
          <w:cantSplit/>
        </w:trPr>
        <w:tc>
          <w:tcPr>
            <w:tcW w:type="dxa" w:w="2300"/>
            <w:vAlign w:val="top"/>
          </w:tcPr>
          <w:p>
            <w:pPr>
              <w:spacing w:after="20" w:before="0" w:line="240" w:lineRule="auto"/>
            </w:pPr>
            <w:r>
              <w:rPr>
                <w:color w:val="1B1C19"/>
                <w:sz w:val="14"/>
              </w:rPr>
              <w:t>Evidence beats assurance language</w:t>
            </w:r>
          </w:p>
        </w:tc>
        <w:tc>
          <w:tcPr>
            <w:tcW w:type="dxa" w:w="6700"/>
            <w:vAlign w:val="top"/>
          </w:tcPr>
          <w:p>
            <w:pPr>
              <w:spacing w:after="20" w:before="0" w:line="240" w:lineRule="auto"/>
            </w:pPr>
            <w:r>
              <w:rPr>
                <w:color w:val="1B1C19"/>
                <w:sz w:val="14"/>
              </w:rPr>
              <w:t>The map must identify the exact evidence source, freshness requirement, test method, and review cadence.</w:t>
            </w:r>
          </w:p>
        </w:tc>
      </w:tr>
      <w:tr>
        <w:trPr>
          <w:cantSplit/>
        </w:trPr>
        <w:tc>
          <w:tcPr>
            <w:tcW w:type="dxa" w:w="2300"/>
            <w:vAlign w:val="top"/>
            <w:shd w:fill="F0EEE9"/>
          </w:tcPr>
          <w:p>
            <w:pPr>
              <w:spacing w:after="20" w:before="0" w:line="240" w:lineRule="auto"/>
            </w:pPr>
            <w:r>
              <w:rPr>
                <w:color w:val="1B1C19"/>
                <w:sz w:val="14"/>
              </w:rPr>
              <w:t>AI changes the control surface</w:t>
            </w:r>
          </w:p>
        </w:tc>
        <w:tc>
          <w:tcPr>
            <w:tcW w:type="dxa" w:w="6700"/>
            <w:vAlign w:val="top"/>
            <w:shd w:fill="F0EEE9"/>
          </w:tcPr>
          <w:p>
            <w:pPr>
              <w:spacing w:after="20" w:before="0" w:line="240" w:lineRule="auto"/>
            </w:pPr>
            <w:r>
              <w:rPr>
                <w:color w:val="1B1C19"/>
                <w:sz w:val="14"/>
              </w:rPr>
              <w:t>AI that retrieves, recommends, drafts, updates, triggers, executes, approves, or communicates must be tied to specific control boundaries.</w:t>
            </w:r>
          </w:p>
        </w:tc>
      </w:tr>
      <w:tr>
        <w:trPr>
          <w:cantSplit/>
        </w:trPr>
        <w:tc>
          <w:tcPr>
            <w:tcW w:type="dxa" w:w="2300"/>
            <w:vAlign w:val="top"/>
          </w:tcPr>
          <w:p>
            <w:pPr>
              <w:spacing w:after="20" w:before="0" w:line="240" w:lineRule="auto"/>
            </w:pPr>
            <w:r>
              <w:rPr>
                <w:color w:val="1B1C19"/>
                <w:sz w:val="14"/>
              </w:rPr>
              <w:t>Controls must have failure paths</w:t>
            </w:r>
          </w:p>
        </w:tc>
        <w:tc>
          <w:tcPr>
            <w:tcW w:type="dxa" w:w="6700"/>
            <w:vAlign w:val="top"/>
          </w:tcPr>
          <w:p>
            <w:pPr>
              <w:spacing w:after="20" w:before="0" w:line="240" w:lineRule="auto"/>
            </w:pPr>
            <w:r>
              <w:rPr>
                <w:color w:val="1B1C19"/>
                <w:sz w:val="14"/>
              </w:rPr>
              <w:t>Every control needs a defined failure condition, escalation route, remediation owner, and review or supersession rule.</w:t>
            </w:r>
          </w:p>
        </w:tc>
      </w:tr>
      <w:tr>
        <w:trPr>
          <w:cantSplit/>
        </w:trPr>
        <w:tc>
          <w:tcPr>
            <w:tcW w:type="dxa" w:w="2300"/>
            <w:vAlign w:val="top"/>
            <w:shd w:fill="F0EEE9"/>
          </w:tcPr>
          <w:p>
            <w:pPr>
              <w:spacing w:after="20" w:before="0" w:line="240" w:lineRule="auto"/>
            </w:pPr>
            <w:r>
              <w:rPr>
                <w:color w:val="1B1C19"/>
                <w:sz w:val="14"/>
              </w:rPr>
              <w:t>Control burden must be rationalized</w:t>
            </w:r>
          </w:p>
        </w:tc>
        <w:tc>
          <w:tcPr>
            <w:tcW w:type="dxa" w:w="6700"/>
            <w:vAlign w:val="top"/>
            <w:shd w:fill="F0EEE9"/>
          </w:tcPr>
          <w:p>
            <w:pPr>
              <w:spacing w:after="20" w:before="0" w:line="240" w:lineRule="auto"/>
            </w:pPr>
            <w:r>
              <w:rPr>
                <w:color w:val="1B1C19"/>
                <w:sz w:val="14"/>
              </w:rPr>
              <w:t>Controls should be right-sized. Low-risk work should not carry heavy enterprise control load, and high-risk work should not rely on informal review.</w:t>
            </w:r>
          </w:p>
        </w:tc>
      </w:tr>
      <w:tr>
        <w:trPr>
          <w:cantSplit/>
        </w:trPr>
        <w:tc>
          <w:tcPr>
            <w:tcW w:type="dxa" w:w="2300"/>
            <w:vAlign w:val="top"/>
          </w:tcPr>
          <w:p>
            <w:pPr>
              <w:spacing w:after="20" w:before="0" w:line="240" w:lineRule="auto"/>
            </w:pPr>
            <w:r>
              <w:rPr>
                <w:color w:val="1B1C19"/>
                <w:sz w:val="14"/>
              </w:rPr>
              <w:t>Governance must become monitorable</w:t>
            </w:r>
          </w:p>
        </w:tc>
        <w:tc>
          <w:tcPr>
            <w:tcW w:type="dxa" w:w="6700"/>
            <w:vAlign w:val="top"/>
          </w:tcPr>
          <w:p>
            <w:pPr>
              <w:spacing w:after="20" w:before="0" w:line="240" w:lineRule="auto"/>
            </w:pPr>
            <w:r>
              <w:rPr>
                <w:color w:val="1B1C19"/>
                <w:sz w:val="14"/>
              </w:rPr>
              <w:t>The control map should convert governance into measurable signals: owner coverage, evidence freshness, test outcomes, exceptions, overdue reviews, and AI boundary violations.</w:t>
            </w:r>
          </w:p>
        </w:tc>
      </w:tr>
    </w:tbl>
    <w:p/>
    <w:p>
      <w:pPr>
        <w:pStyle w:val="Heading1"/>
      </w:pPr>
      <w:r>
        <w:rPr>
          <w:rFonts w:ascii="Aptos Display" w:hAnsi="Aptos Display"/>
          <w:color w:val="2D3924"/>
        </w:rPr>
        <w:t>Required fields</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1900"/>
            <w:vAlign w:val="top"/>
            <w:shd w:fill="2D3924"/>
          </w:tcPr>
          <w:p>
            <w:pPr>
              <w:spacing w:after="20" w:before="0" w:line="240" w:lineRule="auto"/>
            </w:pPr>
            <w:r>
              <w:rPr>
                <w:b/>
                <w:color w:val="FFFFFF"/>
                <w:sz w:val="15"/>
              </w:rPr>
              <w:t>Field</w:t>
            </w:r>
          </w:p>
        </w:tc>
        <w:tc>
          <w:tcPr>
            <w:tcW w:type="dxa" w:w="6000"/>
            <w:vAlign w:val="top"/>
            <w:shd w:fill="2D3924"/>
          </w:tcPr>
          <w:p>
            <w:pPr>
              <w:spacing w:after="20" w:before="0" w:line="240" w:lineRule="auto"/>
            </w:pPr>
            <w:r>
              <w:rPr>
                <w:b/>
                <w:color w:val="FFFFFF"/>
                <w:sz w:val="15"/>
              </w:rPr>
              <w:t>Definition</w:t>
            </w:r>
          </w:p>
        </w:tc>
        <w:tc>
          <w:tcPr>
            <w:tcW w:type="dxa" w:w="1400"/>
            <w:vAlign w:val="top"/>
            <w:shd w:fill="2D3924"/>
          </w:tcPr>
          <w:p>
            <w:pPr>
              <w:spacing w:after="20" w:before="0" w:line="240" w:lineRule="auto"/>
            </w:pPr>
            <w:r>
              <w:rPr>
                <w:b/>
                <w:color w:val="FFFFFF"/>
                <w:sz w:val="15"/>
              </w:rPr>
              <w:t>Required</w:t>
            </w:r>
          </w:p>
        </w:tc>
      </w:tr>
      <w:tr>
        <w:trPr>
          <w:cantSplit/>
        </w:trPr>
        <w:tc>
          <w:tcPr>
            <w:tcW w:type="dxa" w:w="1900"/>
            <w:vAlign w:val="top"/>
          </w:tcPr>
          <w:p>
            <w:pPr>
              <w:spacing w:after="20" w:before="0" w:line="240" w:lineRule="auto"/>
            </w:pPr>
            <w:r>
              <w:rPr>
                <w:color w:val="1B1C19"/>
                <w:sz w:val="14"/>
              </w:rPr>
              <w:t>Control ID</w:t>
            </w:r>
          </w:p>
        </w:tc>
        <w:tc>
          <w:tcPr>
            <w:tcW w:type="dxa" w:w="6000"/>
            <w:vAlign w:val="top"/>
          </w:tcPr>
          <w:p>
            <w:pPr>
              <w:spacing w:after="20" w:before="0" w:line="240" w:lineRule="auto"/>
            </w:pPr>
            <w:r>
              <w:rPr>
                <w:color w:val="1B1C19"/>
                <w:sz w:val="14"/>
              </w:rPr>
              <w:t>Unique identifier for the control, test, policy requirement, approval rule, monitoring rule, or AI boundary</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Control name</w:t>
            </w:r>
          </w:p>
        </w:tc>
        <w:tc>
          <w:tcPr>
            <w:tcW w:type="dxa" w:w="6000"/>
            <w:vAlign w:val="top"/>
            <w:shd w:fill="F0EEE9"/>
          </w:tcPr>
          <w:p>
            <w:pPr>
              <w:spacing w:after="20" w:before="0" w:line="240" w:lineRule="auto"/>
            </w:pPr>
            <w:r>
              <w:rPr>
                <w:color w:val="1B1C19"/>
                <w:sz w:val="14"/>
              </w:rPr>
              <w:t>Plain-language name that business, technology, governance, and audit stakeholders can understand</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Control purpose</w:t>
            </w:r>
          </w:p>
        </w:tc>
        <w:tc>
          <w:tcPr>
            <w:tcW w:type="dxa" w:w="6000"/>
            <w:vAlign w:val="top"/>
          </w:tcPr>
          <w:p>
            <w:pPr>
              <w:spacing w:after="20" w:before="0" w:line="240" w:lineRule="auto"/>
            </w:pPr>
            <w:r>
              <w:rPr>
                <w:color w:val="1B1C19"/>
                <w:sz w:val="14"/>
              </w:rPr>
              <w:t>The risk, obligation, failure mode, decision quality issue, or operating-model behavior the control is designed to manage</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Control category</w:t>
            </w:r>
          </w:p>
        </w:tc>
        <w:tc>
          <w:tcPr>
            <w:tcW w:type="dxa" w:w="6000"/>
            <w:vAlign w:val="top"/>
            <w:shd w:fill="F0EEE9"/>
          </w:tcPr>
          <w:p>
            <w:pPr>
              <w:spacing w:after="20" w:before="0" w:line="240" w:lineRule="auto"/>
            </w:pPr>
            <w:r>
              <w:rPr>
                <w:color w:val="1B1C19"/>
                <w:sz w:val="14"/>
              </w:rPr>
              <w:t>Preventive, detective, corrective, approval, access, data quality, financial, operational, vendor, AI, model, security, privacy, compliance, or records</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Risk or obligation</w:t>
            </w:r>
          </w:p>
        </w:tc>
        <w:tc>
          <w:tcPr>
            <w:tcW w:type="dxa" w:w="6000"/>
            <w:vAlign w:val="top"/>
          </w:tcPr>
          <w:p>
            <w:pPr>
              <w:spacing w:after="20" w:before="0" w:line="240" w:lineRule="auto"/>
            </w:pPr>
            <w:r>
              <w:rPr>
                <w:color w:val="1B1C19"/>
                <w:sz w:val="14"/>
              </w:rPr>
              <w:t>The policy, regulation, enterprise standard, customer risk, employee risk, operational risk, financial risk, or AI risk addressed by the control</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Accountable control owner</w:t>
            </w:r>
          </w:p>
        </w:tc>
        <w:tc>
          <w:tcPr>
            <w:tcW w:type="dxa" w:w="6000"/>
            <w:vAlign w:val="top"/>
            <w:shd w:fill="F0EEE9"/>
          </w:tcPr>
          <w:p>
            <w:pPr>
              <w:spacing w:after="20" w:before="0" w:line="240" w:lineRule="auto"/>
            </w:pPr>
            <w:r>
              <w:rPr>
                <w:color w:val="1B1C19"/>
                <w:sz w:val="14"/>
              </w:rPr>
              <w:t>Person or role accountable for control design, effectiveness, review, exceptions, and remediation</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Process owner</w:t>
            </w:r>
          </w:p>
        </w:tc>
        <w:tc>
          <w:tcPr>
            <w:tcW w:type="dxa" w:w="6000"/>
            <w:vAlign w:val="top"/>
          </w:tcPr>
          <w:p>
            <w:pPr>
              <w:spacing w:after="20" w:before="0" w:line="240" w:lineRule="auto"/>
            </w:pPr>
            <w:r>
              <w:rPr>
                <w:color w:val="1B1C19"/>
                <w:sz w:val="14"/>
              </w:rPr>
              <w:t>Owner of the workflow, operating process, or business capability where the control is applied</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System owner</w:t>
            </w:r>
          </w:p>
        </w:tc>
        <w:tc>
          <w:tcPr>
            <w:tcW w:type="dxa" w:w="6000"/>
            <w:vAlign w:val="top"/>
            <w:shd w:fill="F0EEE9"/>
          </w:tcPr>
          <w:p>
            <w:pPr>
              <w:spacing w:after="20" w:before="0" w:line="240" w:lineRule="auto"/>
            </w:pPr>
            <w:r>
              <w:rPr>
                <w:color w:val="1B1C19"/>
                <w:sz w:val="14"/>
              </w:rPr>
              <w:t>Owner of the platform, application, integration, report, agent, or automation where the control is executed or evidenced</w:t>
            </w:r>
          </w:p>
        </w:tc>
        <w:tc>
          <w:tcPr>
            <w:tcW w:type="dxa" w:w="1400"/>
            <w:vAlign w:val="top"/>
            <w:shd w:fill="F0EEE9"/>
          </w:tcPr>
          <w:p>
            <w:pPr>
              <w:spacing w:after="20" w:before="0" w:line="240" w:lineRule="auto"/>
            </w:pPr>
            <w:r>
              <w:rPr>
                <w:color w:val="1B1C19"/>
                <w:sz w:val="14"/>
              </w:rPr>
              <w:t>Required when systems are involved</w:t>
            </w:r>
          </w:p>
        </w:tc>
      </w:tr>
      <w:tr>
        <w:trPr>
          <w:cantSplit/>
        </w:trPr>
        <w:tc>
          <w:tcPr>
            <w:tcW w:type="dxa" w:w="1900"/>
            <w:vAlign w:val="top"/>
          </w:tcPr>
          <w:p>
            <w:pPr>
              <w:spacing w:after="20" w:before="0" w:line="240" w:lineRule="auto"/>
            </w:pPr>
            <w:r>
              <w:rPr>
                <w:color w:val="1B1C19"/>
                <w:sz w:val="14"/>
              </w:rPr>
              <w:t>Data owner</w:t>
            </w:r>
          </w:p>
        </w:tc>
        <w:tc>
          <w:tcPr>
            <w:tcW w:type="dxa" w:w="6000"/>
            <w:vAlign w:val="top"/>
          </w:tcPr>
          <w:p>
            <w:pPr>
              <w:spacing w:after="20" w:before="0" w:line="240" w:lineRule="auto"/>
            </w:pPr>
            <w:r>
              <w:rPr>
                <w:color w:val="1B1C19"/>
                <w:sz w:val="14"/>
              </w:rPr>
              <w:t>Owner of the data object, metric, source, knowledge object, model input, or evidence source used by the control</w:t>
            </w:r>
          </w:p>
        </w:tc>
        <w:tc>
          <w:tcPr>
            <w:tcW w:type="dxa" w:w="1400"/>
            <w:vAlign w:val="top"/>
          </w:tcPr>
          <w:p>
            <w:pPr>
              <w:spacing w:after="20" w:before="0" w:line="240" w:lineRule="auto"/>
            </w:pPr>
            <w:r>
              <w:rPr>
                <w:color w:val="1B1C19"/>
                <w:sz w:val="14"/>
              </w:rPr>
              <w:t>Required when data is involved</w:t>
            </w:r>
          </w:p>
        </w:tc>
      </w:tr>
      <w:tr>
        <w:trPr>
          <w:cantSplit/>
        </w:trPr>
        <w:tc>
          <w:tcPr>
            <w:tcW w:type="dxa" w:w="1900"/>
            <w:vAlign w:val="top"/>
            <w:shd w:fill="F0EEE9"/>
          </w:tcPr>
          <w:p>
            <w:pPr>
              <w:spacing w:after="20" w:before="0" w:line="240" w:lineRule="auto"/>
            </w:pPr>
            <w:r>
              <w:rPr>
                <w:color w:val="1B1C19"/>
                <w:sz w:val="14"/>
              </w:rPr>
              <w:t>Evidence owner</w:t>
            </w:r>
          </w:p>
        </w:tc>
        <w:tc>
          <w:tcPr>
            <w:tcW w:type="dxa" w:w="6000"/>
            <w:vAlign w:val="top"/>
            <w:shd w:fill="F0EEE9"/>
          </w:tcPr>
          <w:p>
            <w:pPr>
              <w:spacing w:after="20" w:before="0" w:line="240" w:lineRule="auto"/>
            </w:pPr>
            <w:r>
              <w:rPr>
                <w:color w:val="1B1C19"/>
                <w:sz w:val="14"/>
              </w:rPr>
              <w:t>Person or role responsible for producing, validating, storing, and refreshing control evidence</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Evidence source</w:t>
            </w:r>
          </w:p>
        </w:tc>
        <w:tc>
          <w:tcPr>
            <w:tcW w:type="dxa" w:w="6000"/>
            <w:vAlign w:val="top"/>
          </w:tcPr>
          <w:p>
            <w:pPr>
              <w:spacing w:after="20" w:before="0" w:line="240" w:lineRule="auto"/>
            </w:pPr>
            <w:r>
              <w:rPr>
                <w:color w:val="1B1C19"/>
                <w:sz w:val="14"/>
              </w:rPr>
              <w:t>System of record, report, dashboard, log, ticket, approval record, decision log, lineage object, policy, test result, or audit artifact</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Frequency</w:t>
            </w:r>
          </w:p>
        </w:tc>
        <w:tc>
          <w:tcPr>
            <w:tcW w:type="dxa" w:w="6000"/>
            <w:vAlign w:val="top"/>
            <w:shd w:fill="F0EEE9"/>
          </w:tcPr>
          <w:p>
            <w:pPr>
              <w:spacing w:after="20" w:before="0" w:line="240" w:lineRule="auto"/>
            </w:pPr>
            <w:r>
              <w:rPr>
                <w:color w:val="1B1C19"/>
                <w:sz w:val="14"/>
              </w:rPr>
              <w:t>Real-time, event-based, daily, weekly, monthly, quarterly, annual, release-based, exception-based, or manual review</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Test method</w:t>
            </w:r>
          </w:p>
        </w:tc>
        <w:tc>
          <w:tcPr>
            <w:tcW w:type="dxa" w:w="6000"/>
            <w:vAlign w:val="top"/>
          </w:tcPr>
          <w:p>
            <w:pPr>
              <w:spacing w:after="20" w:before="0" w:line="240" w:lineRule="auto"/>
            </w:pPr>
            <w:r>
              <w:rPr>
                <w:color w:val="1B1C19"/>
                <w:sz w:val="14"/>
              </w:rPr>
              <w:t>Automated check, sample review, attestation, exception report, reconciliation, approval review, log review, model validation, or control self-assessment</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AI involvement</w:t>
            </w:r>
          </w:p>
        </w:tc>
        <w:tc>
          <w:tcPr>
            <w:tcW w:type="dxa" w:w="6000"/>
            <w:vAlign w:val="top"/>
            <w:shd w:fill="F0EEE9"/>
          </w:tcPr>
          <w:p>
            <w:pPr>
              <w:spacing w:after="20" w:before="0" w:line="240" w:lineRule="auto"/>
            </w:pPr>
            <w:r>
              <w:rPr>
                <w:color w:val="1B1C19"/>
                <w:sz w:val="14"/>
              </w:rPr>
              <w:t>Whether AI retrieves, summarizes, drafts, recommends, updates, triggers, executes, approves, communicates, monitors, or creates evidence</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AI allowed actions</w:t>
            </w:r>
          </w:p>
        </w:tc>
        <w:tc>
          <w:tcPr>
            <w:tcW w:type="dxa" w:w="6000"/>
            <w:vAlign w:val="top"/>
          </w:tcPr>
          <w:p>
            <w:pPr>
              <w:spacing w:after="20" w:before="0" w:line="240" w:lineRule="auto"/>
            </w:pPr>
            <w:r>
              <w:rPr>
                <w:color w:val="1B1C19"/>
                <w:sz w:val="14"/>
              </w:rPr>
              <w:t>Specific AI actions permitted under the control boundary</w:t>
            </w:r>
          </w:p>
        </w:tc>
        <w:tc>
          <w:tcPr>
            <w:tcW w:type="dxa" w:w="1400"/>
            <w:vAlign w:val="top"/>
          </w:tcPr>
          <w:p>
            <w:pPr>
              <w:spacing w:after="20" w:before="0" w:line="240" w:lineRule="auto"/>
            </w:pPr>
            <w:r>
              <w:rPr>
                <w:color w:val="1B1C19"/>
                <w:sz w:val="14"/>
              </w:rPr>
              <w:t>Required when AI is involved</w:t>
            </w:r>
          </w:p>
        </w:tc>
      </w:tr>
      <w:tr>
        <w:trPr>
          <w:cantSplit/>
        </w:trPr>
        <w:tc>
          <w:tcPr>
            <w:tcW w:type="dxa" w:w="1900"/>
            <w:vAlign w:val="top"/>
            <w:shd w:fill="F0EEE9"/>
          </w:tcPr>
          <w:p>
            <w:pPr>
              <w:spacing w:after="20" w:before="0" w:line="240" w:lineRule="auto"/>
            </w:pPr>
            <w:r>
              <w:rPr>
                <w:color w:val="1B1C19"/>
                <w:sz w:val="14"/>
              </w:rPr>
              <w:t>AI blocked actions</w:t>
            </w:r>
          </w:p>
        </w:tc>
        <w:tc>
          <w:tcPr>
            <w:tcW w:type="dxa" w:w="6000"/>
            <w:vAlign w:val="top"/>
            <w:shd w:fill="F0EEE9"/>
          </w:tcPr>
          <w:p>
            <w:pPr>
              <w:spacing w:after="20" w:before="0" w:line="240" w:lineRule="auto"/>
            </w:pPr>
            <w:r>
              <w:rPr>
                <w:color w:val="1B1C19"/>
                <w:sz w:val="14"/>
              </w:rPr>
              <w:t>Specific AI actions prohibited without human approval, control owner approval, or enterprise governance review</w:t>
            </w:r>
          </w:p>
        </w:tc>
        <w:tc>
          <w:tcPr>
            <w:tcW w:type="dxa" w:w="1400"/>
            <w:vAlign w:val="top"/>
            <w:shd w:fill="F0EEE9"/>
          </w:tcPr>
          <w:p>
            <w:pPr>
              <w:spacing w:after="20" w:before="0" w:line="240" w:lineRule="auto"/>
            </w:pPr>
            <w:r>
              <w:rPr>
                <w:color w:val="1B1C19"/>
                <w:sz w:val="14"/>
              </w:rPr>
              <w:t>Required when AI is involved</w:t>
            </w:r>
          </w:p>
        </w:tc>
      </w:tr>
      <w:tr>
        <w:trPr>
          <w:cantSplit/>
        </w:trPr>
        <w:tc>
          <w:tcPr>
            <w:tcW w:type="dxa" w:w="1900"/>
            <w:vAlign w:val="top"/>
          </w:tcPr>
          <w:p>
            <w:pPr>
              <w:spacing w:after="20" w:before="0" w:line="240" w:lineRule="auto"/>
            </w:pPr>
            <w:r>
              <w:rPr>
                <w:color w:val="1B1C19"/>
                <w:sz w:val="14"/>
              </w:rPr>
              <w:t>Human review rule</w:t>
            </w:r>
          </w:p>
        </w:tc>
        <w:tc>
          <w:tcPr>
            <w:tcW w:type="dxa" w:w="6000"/>
            <w:vAlign w:val="top"/>
          </w:tcPr>
          <w:p>
            <w:pPr>
              <w:spacing w:after="20" w:before="0" w:line="240" w:lineRule="auto"/>
            </w:pPr>
            <w:r>
              <w:rPr>
                <w:color w:val="1B1C19"/>
                <w:sz w:val="14"/>
              </w:rPr>
              <w:t>Human validation, approval, override, audit, or signoff required before control-affecting action</w:t>
            </w:r>
          </w:p>
        </w:tc>
        <w:tc>
          <w:tcPr>
            <w:tcW w:type="dxa" w:w="1400"/>
            <w:vAlign w:val="top"/>
          </w:tcPr>
          <w:p>
            <w:pPr>
              <w:spacing w:after="20" w:before="0" w:line="240" w:lineRule="auto"/>
            </w:pPr>
            <w:r>
              <w:rPr>
                <w:color w:val="1B1C19"/>
                <w:sz w:val="14"/>
              </w:rPr>
              <w:t>Required when risk or AI is involved</w:t>
            </w:r>
          </w:p>
        </w:tc>
      </w:tr>
      <w:tr>
        <w:trPr>
          <w:cantSplit/>
        </w:trPr>
        <w:tc>
          <w:tcPr>
            <w:tcW w:type="dxa" w:w="1900"/>
            <w:vAlign w:val="top"/>
            <w:shd w:fill="F0EEE9"/>
          </w:tcPr>
          <w:p>
            <w:pPr>
              <w:spacing w:after="20" w:before="0" w:line="240" w:lineRule="auto"/>
            </w:pPr>
            <w:r>
              <w:rPr>
                <w:color w:val="1B1C19"/>
                <w:sz w:val="14"/>
              </w:rPr>
              <w:t>Failure condition</w:t>
            </w:r>
          </w:p>
        </w:tc>
        <w:tc>
          <w:tcPr>
            <w:tcW w:type="dxa" w:w="6000"/>
            <w:vAlign w:val="top"/>
            <w:shd w:fill="F0EEE9"/>
          </w:tcPr>
          <w:p>
            <w:pPr>
              <w:spacing w:after="20" w:before="0" w:line="240" w:lineRule="auto"/>
            </w:pPr>
            <w:r>
              <w:rPr>
                <w:color w:val="1B1C19"/>
                <w:sz w:val="14"/>
              </w:rPr>
              <w:t>What proves the control failed, became stale, was bypassed, produced weak evidence, or no longer matches operating reality</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Escalation path</w:t>
            </w:r>
          </w:p>
        </w:tc>
        <w:tc>
          <w:tcPr>
            <w:tcW w:type="dxa" w:w="6000"/>
            <w:vAlign w:val="top"/>
          </w:tcPr>
          <w:p>
            <w:pPr>
              <w:spacing w:after="20" w:before="0" w:line="240" w:lineRule="auto"/>
            </w:pPr>
            <w:r>
              <w:rPr>
                <w:color w:val="1B1C19"/>
                <w:sz w:val="14"/>
              </w:rPr>
              <w:t>Route for failed control, overdue review, exception, boundary violation, unclear ownership, or material risk exposure</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Remediation owner</w:t>
            </w:r>
          </w:p>
        </w:tc>
        <w:tc>
          <w:tcPr>
            <w:tcW w:type="dxa" w:w="6000"/>
            <w:vAlign w:val="top"/>
            <w:shd w:fill="F0EEE9"/>
          </w:tcPr>
          <w:p>
            <w:pPr>
              <w:spacing w:after="20" w:before="0" w:line="240" w:lineRule="auto"/>
            </w:pPr>
            <w:r>
              <w:rPr>
                <w:color w:val="1B1C19"/>
                <w:sz w:val="14"/>
              </w:rPr>
              <w:t>Person or role accountable for fixing the control, process, system, evidence, data, AI boundary, or operating-model gap</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Review date</w:t>
            </w:r>
          </w:p>
        </w:tc>
        <w:tc>
          <w:tcPr>
            <w:tcW w:type="dxa" w:w="6000"/>
            <w:vAlign w:val="top"/>
          </w:tcPr>
          <w:p>
            <w:pPr>
              <w:spacing w:after="20" w:before="0" w:line="240" w:lineRule="auto"/>
            </w:pPr>
            <w:r>
              <w:rPr>
                <w:color w:val="1B1C19"/>
                <w:sz w:val="14"/>
              </w:rPr>
              <w:t>Date when the control must be reviewed, retested, renewed, retired, or superseded</w:t>
            </w:r>
          </w:p>
        </w:tc>
        <w:tc>
          <w:tcPr>
            <w:tcW w:type="dxa" w:w="1400"/>
            <w:vAlign w:val="top"/>
          </w:tcPr>
          <w:p>
            <w:pPr>
              <w:spacing w:after="20" w:before="0" w:line="240" w:lineRule="auto"/>
            </w:pPr>
            <w:r>
              <w:rPr>
                <w:color w:val="1B1C19"/>
                <w:sz w:val="14"/>
              </w:rPr>
              <w:t>Yes</w:t>
            </w:r>
          </w:p>
        </w:tc>
      </w:tr>
    </w:tbl>
    <w:p/>
    <w:p>
      <w:pPr>
        <w:pStyle w:val="Heading1"/>
      </w:pPr>
      <w:r>
        <w:rPr>
          <w:rFonts w:ascii="Aptos Display" w:hAnsi="Aptos Display"/>
          <w:color w:val="2D3924"/>
        </w:rPr>
        <w:t>Control categories</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100"/>
            <w:vAlign w:val="top"/>
            <w:shd w:fill="2D3924"/>
          </w:tcPr>
          <w:p>
            <w:pPr>
              <w:spacing w:after="20" w:before="0" w:line="240" w:lineRule="auto"/>
            </w:pPr>
            <w:r>
              <w:rPr>
                <w:b/>
                <w:color w:val="FFFFFF"/>
                <w:sz w:val="15"/>
              </w:rPr>
              <w:t>Category</w:t>
            </w:r>
          </w:p>
        </w:tc>
        <w:tc>
          <w:tcPr>
            <w:tcW w:type="dxa" w:w="3300"/>
            <w:vAlign w:val="top"/>
            <w:shd w:fill="2D3924"/>
          </w:tcPr>
          <w:p>
            <w:pPr>
              <w:spacing w:after="20" w:before="0" w:line="240" w:lineRule="auto"/>
            </w:pPr>
            <w:r>
              <w:rPr>
                <w:b/>
                <w:color w:val="FFFFFF"/>
                <w:sz w:val="15"/>
              </w:rPr>
              <w:t>Purpose</w:t>
            </w:r>
          </w:p>
        </w:tc>
        <w:tc>
          <w:tcPr>
            <w:tcW w:type="dxa" w:w="3600"/>
            <w:vAlign w:val="top"/>
            <w:shd w:fill="2D3924"/>
          </w:tcPr>
          <w:p>
            <w:pPr>
              <w:spacing w:after="20" w:before="0" w:line="240" w:lineRule="auto"/>
            </w:pPr>
            <w:r>
              <w:rPr>
                <w:b/>
                <w:color w:val="FFFFFF"/>
                <w:sz w:val="15"/>
              </w:rPr>
              <w:t>Examples</w:t>
            </w:r>
          </w:p>
        </w:tc>
      </w:tr>
      <w:tr>
        <w:trPr>
          <w:cantSplit/>
        </w:trPr>
        <w:tc>
          <w:tcPr>
            <w:tcW w:type="dxa" w:w="2100"/>
            <w:vAlign w:val="top"/>
          </w:tcPr>
          <w:p>
            <w:pPr>
              <w:spacing w:after="20" w:before="0" w:line="240" w:lineRule="auto"/>
            </w:pPr>
            <w:r>
              <w:rPr>
                <w:color w:val="1B1C19"/>
                <w:sz w:val="14"/>
              </w:rPr>
              <w:t>Preventive control</w:t>
            </w:r>
          </w:p>
        </w:tc>
        <w:tc>
          <w:tcPr>
            <w:tcW w:type="dxa" w:w="3300"/>
            <w:vAlign w:val="top"/>
          </w:tcPr>
          <w:p>
            <w:pPr>
              <w:spacing w:after="20" w:before="0" w:line="240" w:lineRule="auto"/>
            </w:pPr>
            <w:r>
              <w:rPr>
                <w:color w:val="1B1C19"/>
                <w:sz w:val="14"/>
              </w:rPr>
              <w:t>Stops an unwanted action before it occurs</w:t>
            </w:r>
          </w:p>
        </w:tc>
        <w:tc>
          <w:tcPr>
            <w:tcW w:type="dxa" w:w="3600"/>
            <w:vAlign w:val="top"/>
          </w:tcPr>
          <w:p>
            <w:pPr>
              <w:spacing w:after="20" w:before="0" w:line="240" w:lineRule="auto"/>
            </w:pPr>
            <w:r>
              <w:rPr>
                <w:color w:val="1B1C19"/>
                <w:sz w:val="14"/>
              </w:rPr>
              <w:t>Access approval, budget threshold, release gate, AI blocked action, policy precheck</w:t>
            </w:r>
          </w:p>
        </w:tc>
      </w:tr>
      <w:tr>
        <w:trPr>
          <w:cantSplit/>
        </w:trPr>
        <w:tc>
          <w:tcPr>
            <w:tcW w:type="dxa" w:w="2100"/>
            <w:vAlign w:val="top"/>
            <w:shd w:fill="F0EEE9"/>
          </w:tcPr>
          <w:p>
            <w:pPr>
              <w:spacing w:after="20" w:before="0" w:line="240" w:lineRule="auto"/>
            </w:pPr>
            <w:r>
              <w:rPr>
                <w:color w:val="1B1C19"/>
                <w:sz w:val="14"/>
              </w:rPr>
              <w:t>Detective control</w:t>
            </w:r>
          </w:p>
        </w:tc>
        <w:tc>
          <w:tcPr>
            <w:tcW w:type="dxa" w:w="3300"/>
            <w:vAlign w:val="top"/>
            <w:shd w:fill="F0EEE9"/>
          </w:tcPr>
          <w:p>
            <w:pPr>
              <w:spacing w:after="20" w:before="0" w:line="240" w:lineRule="auto"/>
            </w:pPr>
            <w:r>
              <w:rPr>
                <w:color w:val="1B1C19"/>
                <w:sz w:val="14"/>
              </w:rPr>
              <w:t>Finds an issue after or during activity</w:t>
            </w:r>
          </w:p>
        </w:tc>
        <w:tc>
          <w:tcPr>
            <w:tcW w:type="dxa" w:w="3600"/>
            <w:vAlign w:val="top"/>
            <w:shd w:fill="F0EEE9"/>
          </w:tcPr>
          <w:p>
            <w:pPr>
              <w:spacing w:after="20" w:before="0" w:line="240" w:lineRule="auto"/>
            </w:pPr>
            <w:r>
              <w:rPr>
                <w:color w:val="1B1C19"/>
                <w:sz w:val="14"/>
              </w:rPr>
              <w:t>Exception report, audit log review, quality monitor, model drift alert, data freshness check</w:t>
            </w:r>
          </w:p>
        </w:tc>
      </w:tr>
      <w:tr>
        <w:trPr>
          <w:cantSplit/>
        </w:trPr>
        <w:tc>
          <w:tcPr>
            <w:tcW w:type="dxa" w:w="2100"/>
            <w:vAlign w:val="top"/>
          </w:tcPr>
          <w:p>
            <w:pPr>
              <w:spacing w:after="20" w:before="0" w:line="240" w:lineRule="auto"/>
            </w:pPr>
            <w:r>
              <w:rPr>
                <w:color w:val="1B1C19"/>
                <w:sz w:val="14"/>
              </w:rPr>
              <w:t>Corrective control</w:t>
            </w:r>
          </w:p>
        </w:tc>
        <w:tc>
          <w:tcPr>
            <w:tcW w:type="dxa" w:w="3300"/>
            <w:vAlign w:val="top"/>
          </w:tcPr>
          <w:p>
            <w:pPr>
              <w:spacing w:after="20" w:before="0" w:line="240" w:lineRule="auto"/>
            </w:pPr>
            <w:r>
              <w:rPr>
                <w:color w:val="1B1C19"/>
                <w:sz w:val="14"/>
              </w:rPr>
              <w:t>Restores the operating model after failure</w:t>
            </w:r>
          </w:p>
        </w:tc>
        <w:tc>
          <w:tcPr>
            <w:tcW w:type="dxa" w:w="3600"/>
            <w:vAlign w:val="top"/>
          </w:tcPr>
          <w:p>
            <w:pPr>
              <w:spacing w:after="20" w:before="0" w:line="240" w:lineRule="auto"/>
            </w:pPr>
            <w:r>
              <w:rPr>
                <w:color w:val="1B1C19"/>
                <w:sz w:val="14"/>
              </w:rPr>
              <w:t>Rollback, remediation plan, incident response, process fix, access removal, model rollback</w:t>
            </w:r>
          </w:p>
        </w:tc>
      </w:tr>
      <w:tr>
        <w:trPr>
          <w:cantSplit/>
        </w:trPr>
        <w:tc>
          <w:tcPr>
            <w:tcW w:type="dxa" w:w="2100"/>
            <w:vAlign w:val="top"/>
            <w:shd w:fill="F0EEE9"/>
          </w:tcPr>
          <w:p>
            <w:pPr>
              <w:spacing w:after="20" w:before="0" w:line="240" w:lineRule="auto"/>
            </w:pPr>
            <w:r>
              <w:rPr>
                <w:color w:val="1B1C19"/>
                <w:sz w:val="14"/>
              </w:rPr>
              <w:t>Approval control</w:t>
            </w:r>
          </w:p>
        </w:tc>
        <w:tc>
          <w:tcPr>
            <w:tcW w:type="dxa" w:w="3300"/>
            <w:vAlign w:val="top"/>
            <w:shd w:fill="F0EEE9"/>
          </w:tcPr>
          <w:p>
            <w:pPr>
              <w:spacing w:after="20" w:before="0" w:line="240" w:lineRule="auto"/>
            </w:pPr>
            <w:r>
              <w:rPr>
                <w:color w:val="1B1C19"/>
                <w:sz w:val="14"/>
              </w:rPr>
              <w:t>Requires an authorized person or forum to approve a decision or action</w:t>
            </w:r>
          </w:p>
        </w:tc>
        <w:tc>
          <w:tcPr>
            <w:tcW w:type="dxa" w:w="3600"/>
            <w:vAlign w:val="top"/>
            <w:shd w:fill="F0EEE9"/>
          </w:tcPr>
          <w:p>
            <w:pPr>
              <w:spacing w:after="20" w:before="0" w:line="240" w:lineRule="auto"/>
            </w:pPr>
            <w:r>
              <w:rPr>
                <w:color w:val="1B1C19"/>
                <w:sz w:val="14"/>
              </w:rPr>
              <w:t>Decision rights check, governance approval, risk acceptance, vendor approval</w:t>
            </w:r>
          </w:p>
        </w:tc>
      </w:tr>
      <w:tr>
        <w:trPr>
          <w:cantSplit/>
        </w:trPr>
        <w:tc>
          <w:tcPr>
            <w:tcW w:type="dxa" w:w="2100"/>
            <w:vAlign w:val="top"/>
          </w:tcPr>
          <w:p>
            <w:pPr>
              <w:spacing w:after="20" w:before="0" w:line="240" w:lineRule="auto"/>
            </w:pPr>
            <w:r>
              <w:rPr>
                <w:color w:val="1B1C19"/>
                <w:sz w:val="14"/>
              </w:rPr>
              <w:t>Access control</w:t>
            </w:r>
          </w:p>
        </w:tc>
        <w:tc>
          <w:tcPr>
            <w:tcW w:type="dxa" w:w="3300"/>
            <w:vAlign w:val="top"/>
          </w:tcPr>
          <w:p>
            <w:pPr>
              <w:spacing w:after="20" w:before="0" w:line="240" w:lineRule="auto"/>
            </w:pPr>
            <w:r>
              <w:rPr>
                <w:color w:val="1B1C19"/>
                <w:sz w:val="14"/>
              </w:rPr>
              <w:t>Limits who or what can see, change, trigger, or approve something</w:t>
            </w:r>
          </w:p>
        </w:tc>
        <w:tc>
          <w:tcPr>
            <w:tcW w:type="dxa" w:w="3600"/>
            <w:vAlign w:val="top"/>
          </w:tcPr>
          <w:p>
            <w:pPr>
              <w:spacing w:after="20" w:before="0" w:line="240" w:lineRule="auto"/>
            </w:pPr>
            <w:r>
              <w:rPr>
                <w:color w:val="1B1C19"/>
                <w:sz w:val="14"/>
              </w:rPr>
              <w:t>Role-based access, privileged access, agent permissions, API scope</w:t>
            </w:r>
          </w:p>
        </w:tc>
      </w:tr>
      <w:tr>
        <w:trPr>
          <w:cantSplit/>
        </w:trPr>
        <w:tc>
          <w:tcPr>
            <w:tcW w:type="dxa" w:w="2100"/>
            <w:vAlign w:val="top"/>
            <w:shd w:fill="F0EEE9"/>
          </w:tcPr>
          <w:p>
            <w:pPr>
              <w:spacing w:after="20" w:before="0" w:line="240" w:lineRule="auto"/>
            </w:pPr>
            <w:r>
              <w:rPr>
                <w:color w:val="1B1C19"/>
                <w:sz w:val="14"/>
              </w:rPr>
              <w:t>Data quality control</w:t>
            </w:r>
          </w:p>
        </w:tc>
        <w:tc>
          <w:tcPr>
            <w:tcW w:type="dxa" w:w="3300"/>
            <w:vAlign w:val="top"/>
            <w:shd w:fill="F0EEE9"/>
          </w:tcPr>
          <w:p>
            <w:pPr>
              <w:spacing w:after="20" w:before="0" w:line="240" w:lineRule="auto"/>
            </w:pPr>
            <w:r>
              <w:rPr>
                <w:color w:val="1B1C19"/>
                <w:sz w:val="14"/>
              </w:rPr>
              <w:t>Protects accuracy, completeness, timeliness, lineage, and source integrity</w:t>
            </w:r>
          </w:p>
        </w:tc>
        <w:tc>
          <w:tcPr>
            <w:tcW w:type="dxa" w:w="3600"/>
            <w:vAlign w:val="top"/>
            <w:shd w:fill="F0EEE9"/>
          </w:tcPr>
          <w:p>
            <w:pPr>
              <w:spacing w:after="20" w:before="0" w:line="240" w:lineRule="auto"/>
            </w:pPr>
            <w:r>
              <w:rPr>
                <w:color w:val="1B1C19"/>
                <w:sz w:val="14"/>
              </w:rPr>
              <w:t>Reconciliation, validation rule, lineage check, source freshness threshold</w:t>
            </w:r>
          </w:p>
        </w:tc>
      </w:tr>
      <w:tr>
        <w:trPr>
          <w:cantSplit/>
        </w:trPr>
        <w:tc>
          <w:tcPr>
            <w:tcW w:type="dxa" w:w="2100"/>
            <w:vAlign w:val="top"/>
          </w:tcPr>
          <w:p>
            <w:pPr>
              <w:spacing w:after="20" w:before="0" w:line="240" w:lineRule="auto"/>
            </w:pPr>
            <w:r>
              <w:rPr>
                <w:color w:val="1B1C19"/>
                <w:sz w:val="14"/>
              </w:rPr>
              <w:t>AI / model control</w:t>
            </w:r>
          </w:p>
        </w:tc>
        <w:tc>
          <w:tcPr>
            <w:tcW w:type="dxa" w:w="3300"/>
            <w:vAlign w:val="top"/>
          </w:tcPr>
          <w:p>
            <w:pPr>
              <w:spacing w:after="20" w:before="0" w:line="240" w:lineRule="auto"/>
            </w:pPr>
            <w:r>
              <w:rPr>
                <w:color w:val="1B1C19"/>
                <w:sz w:val="14"/>
              </w:rPr>
              <w:t>Controls how AI can use data, create outputs, trigger work, or influence decisions</w:t>
            </w:r>
          </w:p>
        </w:tc>
        <w:tc>
          <w:tcPr>
            <w:tcW w:type="dxa" w:w="3600"/>
            <w:vAlign w:val="top"/>
          </w:tcPr>
          <w:p>
            <w:pPr>
              <w:spacing w:after="20" w:before="0" w:line="240" w:lineRule="auto"/>
            </w:pPr>
            <w:r>
              <w:rPr>
                <w:color w:val="1B1C19"/>
                <w:sz w:val="14"/>
              </w:rPr>
              <w:t>Human review, prompt boundary, retrieval scope, output validation, kill switch</w:t>
            </w:r>
          </w:p>
        </w:tc>
      </w:tr>
      <w:tr>
        <w:trPr>
          <w:cantSplit/>
        </w:trPr>
        <w:tc>
          <w:tcPr>
            <w:tcW w:type="dxa" w:w="2100"/>
            <w:vAlign w:val="top"/>
            <w:shd w:fill="F0EEE9"/>
          </w:tcPr>
          <w:p>
            <w:pPr>
              <w:spacing w:after="20" w:before="0" w:line="240" w:lineRule="auto"/>
            </w:pPr>
            <w:r>
              <w:rPr>
                <w:color w:val="1B1C19"/>
                <w:sz w:val="14"/>
              </w:rPr>
              <w:t>Records / evidence control</w:t>
            </w:r>
          </w:p>
        </w:tc>
        <w:tc>
          <w:tcPr>
            <w:tcW w:type="dxa" w:w="3300"/>
            <w:vAlign w:val="top"/>
            <w:shd w:fill="F0EEE9"/>
          </w:tcPr>
          <w:p>
            <w:pPr>
              <w:spacing w:after="20" w:before="0" w:line="240" w:lineRule="auto"/>
            </w:pPr>
            <w:r>
              <w:rPr>
                <w:color w:val="1B1C19"/>
                <w:sz w:val="14"/>
              </w:rPr>
              <w:t>Ensures the durable record exists, is reviewable, and can support audit or decision replay</w:t>
            </w:r>
          </w:p>
        </w:tc>
        <w:tc>
          <w:tcPr>
            <w:tcW w:type="dxa" w:w="3600"/>
            <w:vAlign w:val="top"/>
            <w:shd w:fill="F0EEE9"/>
          </w:tcPr>
          <w:p>
            <w:pPr>
              <w:spacing w:after="20" w:before="0" w:line="240" w:lineRule="auto"/>
            </w:pPr>
            <w:r>
              <w:rPr>
                <w:color w:val="1B1C19"/>
                <w:sz w:val="14"/>
              </w:rPr>
              <w:t>Decision log, approval record, evidence package, retention rule</w:t>
            </w:r>
          </w:p>
        </w:tc>
      </w:tr>
      <w:tr>
        <w:trPr>
          <w:cantSplit/>
        </w:trPr>
        <w:tc>
          <w:tcPr>
            <w:tcW w:type="dxa" w:w="2100"/>
            <w:vAlign w:val="top"/>
          </w:tcPr>
          <w:p>
            <w:pPr>
              <w:spacing w:after="20" w:before="0" w:line="240" w:lineRule="auto"/>
            </w:pPr>
            <w:r>
              <w:rPr>
                <w:color w:val="1B1C19"/>
                <w:sz w:val="14"/>
              </w:rPr>
              <w:t>Vendor / integration control</w:t>
            </w:r>
          </w:p>
        </w:tc>
        <w:tc>
          <w:tcPr>
            <w:tcW w:type="dxa" w:w="3300"/>
            <w:vAlign w:val="top"/>
          </w:tcPr>
          <w:p>
            <w:pPr>
              <w:spacing w:after="20" w:before="0" w:line="240" w:lineRule="auto"/>
            </w:pPr>
            <w:r>
              <w:rPr>
                <w:color w:val="1B1C19"/>
                <w:sz w:val="14"/>
              </w:rPr>
              <w:t>Controls third-party systems, integrations, APIs, data movement, and outsourced work</w:t>
            </w:r>
          </w:p>
        </w:tc>
        <w:tc>
          <w:tcPr>
            <w:tcW w:type="dxa" w:w="3600"/>
            <w:vAlign w:val="top"/>
          </w:tcPr>
          <w:p>
            <w:pPr>
              <w:spacing w:after="20" w:before="0" w:line="240" w:lineRule="auto"/>
            </w:pPr>
            <w:r>
              <w:rPr>
                <w:color w:val="1B1C19"/>
                <w:sz w:val="14"/>
              </w:rPr>
              <w:t>Vendor review, integration owner, monitoring, SLA, data processing rule</w:t>
            </w:r>
          </w:p>
        </w:tc>
      </w:tr>
    </w:tbl>
    <w:p/>
    <w:p>
      <w:pPr>
        <w:pStyle w:val="Heading1"/>
      </w:pPr>
      <w:r>
        <w:rPr>
          <w:rFonts w:ascii="Aptos Display" w:hAnsi="Aptos Display"/>
          <w:color w:val="2D3924"/>
        </w:rPr>
        <w:t>Control map template</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300"/>
            <w:vAlign w:val="top"/>
            <w:shd w:fill="2D3924"/>
          </w:tcPr>
          <w:p>
            <w:pPr>
              <w:spacing w:after="20" w:before="0" w:line="240" w:lineRule="auto"/>
            </w:pPr>
            <w:r>
              <w:rPr>
                <w:b/>
                <w:color w:val="FFFFFF"/>
                <w:sz w:val="15"/>
              </w:rPr>
              <w:t>Map area</w:t>
            </w:r>
          </w:p>
        </w:tc>
        <w:tc>
          <w:tcPr>
            <w:tcW w:type="dxa" w:w="2500"/>
            <w:vAlign w:val="top"/>
            <w:shd w:fill="2D3924"/>
          </w:tcPr>
          <w:p>
            <w:pPr>
              <w:spacing w:after="20" w:before="0" w:line="240" w:lineRule="auto"/>
            </w:pPr>
            <w:r>
              <w:rPr>
                <w:b/>
                <w:color w:val="FFFFFF"/>
                <w:sz w:val="15"/>
              </w:rPr>
              <w:t>Question</w:t>
            </w:r>
          </w:p>
        </w:tc>
        <w:tc>
          <w:tcPr>
            <w:tcW w:type="dxa" w:w="4300"/>
            <w:vAlign w:val="top"/>
            <w:shd w:fill="2D3924"/>
          </w:tcPr>
          <w:p>
            <w:pPr>
              <w:spacing w:after="20" w:before="0" w:line="240" w:lineRule="auto"/>
            </w:pPr>
            <w:r>
              <w:rPr>
                <w:b/>
                <w:color w:val="FFFFFF"/>
                <w:sz w:val="15"/>
              </w:rPr>
              <w:t>Mapping guidance</w:t>
            </w:r>
          </w:p>
        </w:tc>
      </w:tr>
      <w:tr>
        <w:trPr>
          <w:cantSplit/>
        </w:trPr>
        <w:tc>
          <w:tcPr>
            <w:tcW w:type="dxa" w:w="2300"/>
            <w:vAlign w:val="top"/>
          </w:tcPr>
          <w:p>
            <w:pPr>
              <w:spacing w:after="20" w:before="0" w:line="240" w:lineRule="auto"/>
            </w:pPr>
            <w:r>
              <w:rPr>
                <w:color w:val="1B1C19"/>
                <w:sz w:val="14"/>
              </w:rPr>
              <w:t>Control object</w:t>
            </w:r>
          </w:p>
        </w:tc>
        <w:tc>
          <w:tcPr>
            <w:tcW w:type="dxa" w:w="2500"/>
            <w:vAlign w:val="top"/>
          </w:tcPr>
          <w:p>
            <w:pPr>
              <w:spacing w:after="20" w:before="0" w:line="240" w:lineRule="auto"/>
            </w:pPr>
            <w:r>
              <w:rPr>
                <w:color w:val="1B1C19"/>
                <w:sz w:val="14"/>
              </w:rPr>
              <w:t>What is being controlled?</w:t>
            </w:r>
          </w:p>
        </w:tc>
        <w:tc>
          <w:tcPr>
            <w:tcW w:type="dxa" w:w="4300"/>
            <w:vAlign w:val="top"/>
          </w:tcPr>
          <w:p>
            <w:pPr>
              <w:spacing w:after="20" w:before="0" w:line="240" w:lineRule="auto"/>
            </w:pPr>
            <w:r>
              <w:rPr>
                <w:color w:val="1B1C19"/>
                <w:sz w:val="14"/>
              </w:rPr>
              <w:t>Name the risk, behavior, workflow, decision, data object, system action, or AI action boundary.</w:t>
            </w:r>
          </w:p>
        </w:tc>
      </w:tr>
      <w:tr>
        <w:trPr>
          <w:cantSplit/>
        </w:trPr>
        <w:tc>
          <w:tcPr>
            <w:tcW w:type="dxa" w:w="2300"/>
            <w:vAlign w:val="top"/>
            <w:shd w:fill="F0EEE9"/>
          </w:tcPr>
          <w:p>
            <w:pPr>
              <w:spacing w:after="20" w:before="0" w:line="240" w:lineRule="auto"/>
            </w:pPr>
            <w:r>
              <w:rPr>
                <w:color w:val="1B1C19"/>
                <w:sz w:val="14"/>
              </w:rPr>
              <w:t>Owner model</w:t>
            </w:r>
          </w:p>
        </w:tc>
        <w:tc>
          <w:tcPr>
            <w:tcW w:type="dxa" w:w="2500"/>
            <w:vAlign w:val="top"/>
            <w:shd w:fill="F0EEE9"/>
          </w:tcPr>
          <w:p>
            <w:pPr>
              <w:spacing w:after="20" w:before="0" w:line="240" w:lineRule="auto"/>
            </w:pPr>
            <w:r>
              <w:rPr>
                <w:color w:val="1B1C19"/>
                <w:sz w:val="14"/>
              </w:rPr>
              <w:t>Who owns design, execution, evidence, and remediation?</w:t>
            </w:r>
          </w:p>
        </w:tc>
        <w:tc>
          <w:tcPr>
            <w:tcW w:type="dxa" w:w="4300"/>
            <w:vAlign w:val="top"/>
            <w:shd w:fill="F0EEE9"/>
          </w:tcPr>
          <w:p>
            <w:pPr>
              <w:spacing w:after="20" w:before="0" w:line="240" w:lineRule="auto"/>
            </w:pPr>
            <w:r>
              <w:rPr>
                <w:color w:val="1B1C19"/>
                <w:sz w:val="14"/>
              </w:rPr>
              <w:t>Separate control owner, process owner, system owner, data owner, evidence owner, and remediation owner.</w:t>
            </w:r>
          </w:p>
        </w:tc>
      </w:tr>
      <w:tr>
        <w:trPr>
          <w:cantSplit/>
        </w:trPr>
        <w:tc>
          <w:tcPr>
            <w:tcW w:type="dxa" w:w="2300"/>
            <w:vAlign w:val="top"/>
          </w:tcPr>
          <w:p>
            <w:pPr>
              <w:spacing w:after="20" w:before="0" w:line="240" w:lineRule="auto"/>
            </w:pPr>
            <w:r>
              <w:rPr>
                <w:color w:val="1B1C19"/>
                <w:sz w:val="14"/>
              </w:rPr>
              <w:t>Evidence model</w:t>
            </w:r>
          </w:p>
        </w:tc>
        <w:tc>
          <w:tcPr>
            <w:tcW w:type="dxa" w:w="2500"/>
            <w:vAlign w:val="top"/>
          </w:tcPr>
          <w:p>
            <w:pPr>
              <w:spacing w:after="20" w:before="0" w:line="240" w:lineRule="auto"/>
            </w:pPr>
            <w:r>
              <w:rPr>
                <w:color w:val="1B1C19"/>
                <w:sz w:val="14"/>
              </w:rPr>
              <w:t>What proves the control is working?</w:t>
            </w:r>
          </w:p>
        </w:tc>
        <w:tc>
          <w:tcPr>
            <w:tcW w:type="dxa" w:w="4300"/>
            <w:vAlign w:val="top"/>
          </w:tcPr>
          <w:p>
            <w:pPr>
              <w:spacing w:after="20" w:before="0" w:line="240" w:lineRule="auto"/>
            </w:pPr>
            <w:r>
              <w:rPr>
                <w:color w:val="1B1C19"/>
                <w:sz w:val="14"/>
              </w:rPr>
              <w:t>Identify the evidence source, freshness window, test method, confidence level, and storage location.</w:t>
            </w:r>
          </w:p>
        </w:tc>
      </w:tr>
      <w:tr>
        <w:trPr>
          <w:cantSplit/>
        </w:trPr>
        <w:tc>
          <w:tcPr>
            <w:tcW w:type="dxa" w:w="2300"/>
            <w:vAlign w:val="top"/>
            <w:shd w:fill="F0EEE9"/>
          </w:tcPr>
          <w:p>
            <w:pPr>
              <w:spacing w:after="20" w:before="0" w:line="240" w:lineRule="auto"/>
            </w:pPr>
            <w:r>
              <w:rPr>
                <w:color w:val="1B1C19"/>
                <w:sz w:val="14"/>
              </w:rPr>
              <w:t>System and data dependency</w:t>
            </w:r>
          </w:p>
        </w:tc>
        <w:tc>
          <w:tcPr>
            <w:tcW w:type="dxa" w:w="2500"/>
            <w:vAlign w:val="top"/>
            <w:shd w:fill="F0EEE9"/>
          </w:tcPr>
          <w:p>
            <w:pPr>
              <w:spacing w:after="20" w:before="0" w:line="240" w:lineRule="auto"/>
            </w:pPr>
            <w:r>
              <w:rPr>
                <w:color w:val="1B1C19"/>
                <w:sz w:val="14"/>
              </w:rPr>
              <w:t>Where does the control live or depend?</w:t>
            </w:r>
          </w:p>
        </w:tc>
        <w:tc>
          <w:tcPr>
            <w:tcW w:type="dxa" w:w="4300"/>
            <w:vAlign w:val="top"/>
            <w:shd w:fill="F0EEE9"/>
          </w:tcPr>
          <w:p>
            <w:pPr>
              <w:spacing w:after="20" w:before="0" w:line="240" w:lineRule="auto"/>
            </w:pPr>
            <w:r>
              <w:rPr>
                <w:color w:val="1B1C19"/>
                <w:sz w:val="14"/>
              </w:rPr>
              <w:t>Map systems, integrations, data objects, dashboards, logs, reports, agents, and workflow tools.</w:t>
            </w:r>
          </w:p>
        </w:tc>
      </w:tr>
      <w:tr>
        <w:trPr>
          <w:cantSplit/>
        </w:trPr>
        <w:tc>
          <w:tcPr>
            <w:tcW w:type="dxa" w:w="2300"/>
            <w:vAlign w:val="top"/>
          </w:tcPr>
          <w:p>
            <w:pPr>
              <w:spacing w:after="20" w:before="0" w:line="240" w:lineRule="auto"/>
            </w:pPr>
            <w:r>
              <w:rPr>
                <w:color w:val="1B1C19"/>
                <w:sz w:val="14"/>
              </w:rPr>
              <w:t>AI boundary</w:t>
            </w:r>
          </w:p>
        </w:tc>
        <w:tc>
          <w:tcPr>
            <w:tcW w:type="dxa" w:w="2500"/>
            <w:vAlign w:val="top"/>
          </w:tcPr>
          <w:p>
            <w:pPr>
              <w:spacing w:after="20" w:before="0" w:line="240" w:lineRule="auto"/>
            </w:pPr>
            <w:r>
              <w:rPr>
                <w:color w:val="1B1C19"/>
                <w:sz w:val="14"/>
              </w:rPr>
              <w:t>What can AI do and not do?</w:t>
            </w:r>
          </w:p>
        </w:tc>
        <w:tc>
          <w:tcPr>
            <w:tcW w:type="dxa" w:w="4300"/>
            <w:vAlign w:val="top"/>
          </w:tcPr>
          <w:p>
            <w:pPr>
              <w:spacing w:after="20" w:before="0" w:line="240" w:lineRule="auto"/>
            </w:pPr>
            <w:r>
              <w:rPr>
                <w:color w:val="1B1C19"/>
                <w:sz w:val="14"/>
              </w:rPr>
              <w:t>Document allowed actions, blocked actions, retrieval scope, human review, logging, and kill switch.</w:t>
            </w:r>
          </w:p>
        </w:tc>
      </w:tr>
      <w:tr>
        <w:trPr>
          <w:cantSplit/>
        </w:trPr>
        <w:tc>
          <w:tcPr>
            <w:tcW w:type="dxa" w:w="2300"/>
            <w:vAlign w:val="top"/>
            <w:shd w:fill="F0EEE9"/>
          </w:tcPr>
          <w:p>
            <w:pPr>
              <w:spacing w:after="20" w:before="0" w:line="240" w:lineRule="auto"/>
            </w:pPr>
            <w:r>
              <w:rPr>
                <w:color w:val="1B1C19"/>
                <w:sz w:val="14"/>
              </w:rPr>
              <w:t>Failure and escalation</w:t>
            </w:r>
          </w:p>
        </w:tc>
        <w:tc>
          <w:tcPr>
            <w:tcW w:type="dxa" w:w="2500"/>
            <w:vAlign w:val="top"/>
            <w:shd w:fill="F0EEE9"/>
          </w:tcPr>
          <w:p>
            <w:pPr>
              <w:spacing w:after="20" w:before="0" w:line="240" w:lineRule="auto"/>
            </w:pPr>
            <w:r>
              <w:rPr>
                <w:color w:val="1B1C19"/>
                <w:sz w:val="14"/>
              </w:rPr>
              <w:t>What happens when it fails?</w:t>
            </w:r>
          </w:p>
        </w:tc>
        <w:tc>
          <w:tcPr>
            <w:tcW w:type="dxa" w:w="4300"/>
            <w:vAlign w:val="top"/>
            <w:shd w:fill="F0EEE9"/>
          </w:tcPr>
          <w:p>
            <w:pPr>
              <w:spacing w:after="20" w:before="0" w:line="240" w:lineRule="auto"/>
            </w:pPr>
            <w:r>
              <w:rPr>
                <w:color w:val="1B1C19"/>
                <w:sz w:val="14"/>
              </w:rPr>
              <w:t>Define failure signals, escalation route, remediation owner, SLA, review date, and supersession rule.</w:t>
            </w:r>
          </w:p>
        </w:tc>
      </w:tr>
    </w:tbl>
    <w:p/>
    <w:p>
      <w:r>
        <w:br w:type="page"/>
      </w:r>
    </w:p>
    <w:p>
      <w:pPr>
        <w:pStyle w:val="Heading1"/>
      </w:pPr>
      <w:r>
        <w:rPr>
          <w:rFonts w:ascii="Aptos Display" w:hAnsi="Aptos Display"/>
          <w:color w:val="2D3924"/>
        </w:rPr>
        <w:t>Workflow</w:t>
      </w:r>
    </w:p>
    <w:tbl>
      <w:tblPr>
        <w:tblStyle w:val="TableGrid"/>
        <w:tblW w:type="auto" w:w="0"/>
        <w:jc w:val="center"/>
        <w:tblLook w:firstColumn="1" w:firstRow="1" w:lastColumn="0" w:lastRow="0" w:noHBand="0" w:noVBand="1" w:val="04A0"/>
      </w:tblPr>
      <w:tblGrid>
        <w:gridCol w:w="5328"/>
        <w:gridCol w:w="5328"/>
      </w:tblGrid>
      <w:tr>
        <w:trPr>
          <w:cantSplit/>
        </w:trPr>
        <w:tc>
          <w:tcPr>
            <w:tcW w:type="dxa" w:w="1900"/>
            <w:vAlign w:val="top"/>
            <w:shd w:fill="2D3924"/>
          </w:tcPr>
          <w:p>
            <w:pPr>
              <w:spacing w:after="20" w:before="0" w:line="240" w:lineRule="auto"/>
            </w:pPr>
            <w:r>
              <w:rPr>
                <w:b/>
                <w:color w:val="FFFFFF"/>
                <w:sz w:val="15"/>
              </w:rPr>
              <w:t>Step</w:t>
            </w:r>
          </w:p>
        </w:tc>
        <w:tc>
          <w:tcPr>
            <w:tcW w:type="dxa" w:w="7100"/>
            <w:vAlign w:val="top"/>
            <w:shd w:fill="2D3924"/>
          </w:tcPr>
          <w:p>
            <w:pPr>
              <w:spacing w:after="20" w:before="0" w:line="240" w:lineRule="auto"/>
            </w:pPr>
            <w:r>
              <w:rPr>
                <w:b/>
                <w:color w:val="FFFFFF"/>
                <w:sz w:val="15"/>
              </w:rPr>
              <w:t>Action</w:t>
            </w:r>
          </w:p>
        </w:tc>
      </w:tr>
      <w:tr>
        <w:trPr>
          <w:cantSplit/>
        </w:trPr>
        <w:tc>
          <w:tcPr>
            <w:tcW w:type="dxa" w:w="1900"/>
            <w:vAlign w:val="top"/>
          </w:tcPr>
          <w:p>
            <w:pPr>
              <w:spacing w:after="20" w:before="0" w:line="240" w:lineRule="auto"/>
            </w:pPr>
            <w:r>
              <w:rPr>
                <w:color w:val="1B1C19"/>
                <w:sz w:val="14"/>
              </w:rPr>
              <w:t>1. Identify control population</w:t>
            </w:r>
          </w:p>
        </w:tc>
        <w:tc>
          <w:tcPr>
            <w:tcW w:type="dxa" w:w="7100"/>
            <w:vAlign w:val="top"/>
          </w:tcPr>
          <w:p>
            <w:pPr>
              <w:spacing w:after="20" w:before="0" w:line="240" w:lineRule="auto"/>
            </w:pPr>
            <w:r>
              <w:rPr>
                <w:color w:val="1B1C19"/>
                <w:sz w:val="14"/>
              </w:rPr>
              <w:t>List controls from policies, audit findings, governance forums, system permissions, workflows, dashboards, AI use cases, vendor obligations, and key decisions.</w:t>
            </w:r>
          </w:p>
        </w:tc>
      </w:tr>
      <w:tr>
        <w:trPr>
          <w:cantSplit/>
        </w:trPr>
        <w:tc>
          <w:tcPr>
            <w:tcW w:type="dxa" w:w="1900"/>
            <w:vAlign w:val="top"/>
            <w:shd w:fill="F0EEE9"/>
          </w:tcPr>
          <w:p>
            <w:pPr>
              <w:spacing w:after="20" w:before="0" w:line="240" w:lineRule="auto"/>
            </w:pPr>
            <w:r>
              <w:rPr>
                <w:color w:val="1B1C19"/>
                <w:sz w:val="14"/>
              </w:rPr>
              <w:t>2. Classify control type</w:t>
            </w:r>
          </w:p>
        </w:tc>
        <w:tc>
          <w:tcPr>
            <w:tcW w:type="dxa" w:w="7100"/>
            <w:vAlign w:val="top"/>
            <w:shd w:fill="F0EEE9"/>
          </w:tcPr>
          <w:p>
            <w:pPr>
              <w:spacing w:after="20" w:before="0" w:line="240" w:lineRule="auto"/>
            </w:pPr>
            <w:r>
              <w:rPr>
                <w:color w:val="1B1C19"/>
                <w:sz w:val="14"/>
              </w:rPr>
              <w:t>Classify each control as preventive, detective, corrective, approval, access, data quality, AI/model, vendor, records, financial, operational, security, privacy, or compliance.</w:t>
            </w:r>
          </w:p>
        </w:tc>
      </w:tr>
      <w:tr>
        <w:trPr>
          <w:cantSplit/>
        </w:trPr>
        <w:tc>
          <w:tcPr>
            <w:tcW w:type="dxa" w:w="1900"/>
            <w:vAlign w:val="top"/>
          </w:tcPr>
          <w:p>
            <w:pPr>
              <w:spacing w:after="20" w:before="0" w:line="240" w:lineRule="auto"/>
            </w:pPr>
            <w:r>
              <w:rPr>
                <w:color w:val="1B1C19"/>
                <w:sz w:val="14"/>
              </w:rPr>
              <w:t>3. Assign ownership</w:t>
            </w:r>
          </w:p>
        </w:tc>
        <w:tc>
          <w:tcPr>
            <w:tcW w:type="dxa" w:w="7100"/>
            <w:vAlign w:val="top"/>
          </w:tcPr>
          <w:p>
            <w:pPr>
              <w:spacing w:after="20" w:before="0" w:line="240" w:lineRule="auto"/>
            </w:pPr>
            <w:r>
              <w:rPr>
                <w:color w:val="1B1C19"/>
                <w:sz w:val="14"/>
              </w:rPr>
              <w:t>Assign accountable control owner plus process, system, data, evidence, remediation, and AI boundary owners where relevant.</w:t>
            </w:r>
          </w:p>
        </w:tc>
      </w:tr>
      <w:tr>
        <w:trPr>
          <w:cantSplit/>
        </w:trPr>
        <w:tc>
          <w:tcPr>
            <w:tcW w:type="dxa" w:w="1900"/>
            <w:vAlign w:val="top"/>
            <w:shd w:fill="F0EEE9"/>
          </w:tcPr>
          <w:p>
            <w:pPr>
              <w:spacing w:after="20" w:before="0" w:line="240" w:lineRule="auto"/>
            </w:pPr>
            <w:r>
              <w:rPr>
                <w:color w:val="1B1C19"/>
                <w:sz w:val="14"/>
              </w:rPr>
              <w:t>4. Map evidence</w:t>
            </w:r>
          </w:p>
        </w:tc>
        <w:tc>
          <w:tcPr>
            <w:tcW w:type="dxa" w:w="7100"/>
            <w:vAlign w:val="top"/>
            <w:shd w:fill="F0EEE9"/>
          </w:tcPr>
          <w:p>
            <w:pPr>
              <w:spacing w:after="20" w:before="0" w:line="240" w:lineRule="auto"/>
            </w:pPr>
            <w:r>
              <w:rPr>
                <w:color w:val="1B1C19"/>
                <w:sz w:val="14"/>
              </w:rPr>
              <w:t>Define the evidence source, system of record, freshness window, confidence rating, test method, and storage location.</w:t>
            </w:r>
          </w:p>
        </w:tc>
      </w:tr>
      <w:tr>
        <w:trPr>
          <w:cantSplit/>
        </w:trPr>
        <w:tc>
          <w:tcPr>
            <w:tcW w:type="dxa" w:w="1900"/>
            <w:vAlign w:val="top"/>
          </w:tcPr>
          <w:p>
            <w:pPr>
              <w:spacing w:after="20" w:before="0" w:line="240" w:lineRule="auto"/>
            </w:pPr>
            <w:r>
              <w:rPr>
                <w:color w:val="1B1C19"/>
                <w:sz w:val="14"/>
              </w:rPr>
              <w:t>5. Map dependencies</w:t>
            </w:r>
          </w:p>
        </w:tc>
        <w:tc>
          <w:tcPr>
            <w:tcW w:type="dxa" w:w="7100"/>
            <w:vAlign w:val="top"/>
          </w:tcPr>
          <w:p>
            <w:pPr>
              <w:spacing w:after="20" w:before="0" w:line="240" w:lineRule="auto"/>
            </w:pPr>
            <w:r>
              <w:rPr>
                <w:color w:val="1B1C19"/>
                <w:sz w:val="14"/>
              </w:rPr>
              <w:t>Connect each control to workflows, decisions, platforms, integrations, data lineage, source-of-truth objects, and AI initiatives.</w:t>
            </w:r>
          </w:p>
        </w:tc>
      </w:tr>
      <w:tr>
        <w:trPr>
          <w:cantSplit/>
        </w:trPr>
        <w:tc>
          <w:tcPr>
            <w:tcW w:type="dxa" w:w="1900"/>
            <w:vAlign w:val="top"/>
            <w:shd w:fill="F0EEE9"/>
          </w:tcPr>
          <w:p>
            <w:pPr>
              <w:spacing w:after="20" w:before="0" w:line="240" w:lineRule="auto"/>
            </w:pPr>
            <w:r>
              <w:rPr>
                <w:color w:val="1B1C19"/>
                <w:sz w:val="14"/>
              </w:rPr>
              <w:t>6. Define AI boundary</w:t>
            </w:r>
          </w:p>
        </w:tc>
        <w:tc>
          <w:tcPr>
            <w:tcW w:type="dxa" w:w="7100"/>
            <w:vAlign w:val="top"/>
            <w:shd w:fill="F0EEE9"/>
          </w:tcPr>
          <w:p>
            <w:pPr>
              <w:spacing w:after="20" w:before="0" w:line="240" w:lineRule="auto"/>
            </w:pPr>
            <w:r>
              <w:rPr>
                <w:color w:val="1B1C19"/>
                <w:sz w:val="14"/>
              </w:rPr>
              <w:t>Document AI allowed actions, blocked actions, human review rules, logs, override path, and kill switch.</w:t>
            </w:r>
          </w:p>
        </w:tc>
      </w:tr>
      <w:tr>
        <w:trPr>
          <w:cantSplit/>
        </w:trPr>
        <w:tc>
          <w:tcPr>
            <w:tcW w:type="dxa" w:w="1900"/>
            <w:vAlign w:val="top"/>
          </w:tcPr>
          <w:p>
            <w:pPr>
              <w:spacing w:after="20" w:before="0" w:line="240" w:lineRule="auto"/>
            </w:pPr>
            <w:r>
              <w:rPr>
                <w:color w:val="1B1C19"/>
                <w:sz w:val="14"/>
              </w:rPr>
              <w:t>7. Set failure path</w:t>
            </w:r>
          </w:p>
        </w:tc>
        <w:tc>
          <w:tcPr>
            <w:tcW w:type="dxa" w:w="7100"/>
            <w:vAlign w:val="top"/>
          </w:tcPr>
          <w:p>
            <w:pPr>
              <w:spacing w:after="20" w:before="0" w:line="240" w:lineRule="auto"/>
            </w:pPr>
            <w:r>
              <w:rPr>
                <w:color w:val="1B1C19"/>
                <w:sz w:val="14"/>
              </w:rPr>
              <w:t>Define failure condition, escalation route, remediation owner, target resolution time, and review or supersession trigger.</w:t>
            </w:r>
          </w:p>
        </w:tc>
      </w:tr>
      <w:tr>
        <w:trPr>
          <w:cantSplit/>
        </w:trPr>
        <w:tc>
          <w:tcPr>
            <w:tcW w:type="dxa" w:w="1900"/>
            <w:vAlign w:val="top"/>
            <w:shd w:fill="F0EEE9"/>
          </w:tcPr>
          <w:p>
            <w:pPr>
              <w:spacing w:after="20" w:before="0" w:line="240" w:lineRule="auto"/>
            </w:pPr>
            <w:r>
              <w:rPr>
                <w:color w:val="1B1C19"/>
                <w:sz w:val="14"/>
              </w:rPr>
              <w:t>8. Score and improve</w:t>
            </w:r>
          </w:p>
        </w:tc>
        <w:tc>
          <w:tcPr>
            <w:tcW w:type="dxa" w:w="7100"/>
            <w:vAlign w:val="top"/>
            <w:shd w:fill="F0EEE9"/>
          </w:tcPr>
          <w:p>
            <w:pPr>
              <w:spacing w:after="20" w:before="0" w:line="240" w:lineRule="auto"/>
            </w:pPr>
            <w:r>
              <w:rPr>
                <w:color w:val="1B1C19"/>
                <w:sz w:val="14"/>
              </w:rPr>
              <w:t>Score control health, fix weak ownership and evidence, retire duplicate controls, and create Lapemo control objects for ongoing monitoring.</w:t>
            </w:r>
          </w:p>
        </w:tc>
      </w:tr>
    </w:tbl>
    <w:p/>
    <w:p>
      <w:pPr>
        <w:pStyle w:val="Heading1"/>
      </w:pPr>
      <w:r>
        <w:rPr>
          <w:rFonts w:ascii="Aptos Display" w:hAnsi="Aptos Display"/>
          <w:color w:val="2D3924"/>
        </w:rPr>
        <w:t>Version for 500+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Create practical control visibility without building a heavy committee model. Focus on material risks, AI initiatives, core systems, customer/employee impact, and key evidence sources.</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Map top 25 to 75 controls across finance, people, customer, product, security, data, platform, AI pilots, and executive decisions.</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Monthly control review with named owners, simple evidence links, clear exception path, and light AI boundary classification.</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Every AI pilot or automation must identify accountable owner, source data, human review rule, blocked actions, and control evidence.</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Prevent founder-led or function-led exceptions from becoming hidden operating risk as systems and AI usage scale.</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Controls live in policy documents only, evidence is manual screenshots, AI pilots have no control owner, and exceptions are handled through informal leadership channels.</w:t>
            </w:r>
          </w:p>
        </w:tc>
      </w:tr>
    </w:tbl>
    <w:p/>
    <w:p>
      <w:pPr>
        <w:pStyle w:val="Heading1"/>
      </w:pPr>
      <w:r>
        <w:rPr>
          <w:rFonts w:ascii="Aptos Display" w:hAnsi="Aptos Display"/>
          <w:color w:val="2D3924"/>
        </w:rPr>
        <w:t>Version for 5,000+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Standardize control ownership and evidence across domains, platforms, data products, workflows, vendors, and AI-enabled work.</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Map material controls by business domain, platform, data source, integration, AI initiative, governance forum, and risk/control obligation.</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Quarterly control owner review, automated evidence where possible, exception management, issue remediation, and governance route alignment.</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AI controls must include retrieval boundaries, approval boundaries, output review, tool/action permissions, audit logs, and escalation path.</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Connect control maps to decision logs, evidence checklists, platform maps, integration maps, workflow inventory, and source-of-truth map.</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Control ownership is split across functions, dashboards conflict with audit evidence, AI agents use uncontrolled data, and duplicate tools create duplicate controls.</w:t>
            </w:r>
          </w:p>
        </w:tc>
      </w:tr>
    </w:tbl>
    <w:p/>
    <w:p>
      <w:r>
        <w:br w:type="page"/>
      </w:r>
    </w:p>
    <w:p>
      <w:pPr>
        <w:pStyle w:val="Heading1"/>
      </w:pPr>
      <w:r>
        <w:rPr>
          <w:rFonts w:ascii="Aptos Display" w:hAnsi="Aptos Display"/>
          <w:color w:val="2D3924"/>
        </w:rPr>
        <w:t>Version for 10,000+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Create enterprise-grade control lineage across business units, regions, regulated functions, shared services, vendors, BPO partners, AI agents, and critical systems.</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Map enterprise control inventory, control objectives, risk domains, evidence sources, issue workflows, model/AI controls, data lineage, integration controls, and policy obligations.</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Automated control monitoring with control owner dashboards, evidence freshness signals, exception routing, remediation SLAs, AI boundary monitoring, and audit-ready lineage.</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AI tools and agents must have permission scopes, evidence requirements, source lineage, human override, action logs, review cadence, incident path, and kill-switch ownership.</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Integrate with risk, compliance, internal audit, legal, privacy, security, architecture, data governance, model risk, finance, procurement, and executive governance.</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Multiple control taxonomies conflict, local AI tools bypass enterprise controls, evidence cannot be traced to source, and exceptions never expire or trigger remediation.</w:t>
            </w:r>
          </w:p>
        </w:tc>
      </w:tr>
    </w:tbl>
    <w:p/>
    <w:p>
      <w:pPr>
        <w:pStyle w:val="Heading1"/>
      </w:pPr>
      <w:r>
        <w:rPr>
          <w:rFonts w:ascii="Aptos Display" w:hAnsi="Aptos Display"/>
          <w:color w:val="2D3924"/>
        </w:rPr>
        <w:t>Scoring logic</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300"/>
            <w:vAlign w:val="top"/>
            <w:shd w:fill="2D3924"/>
          </w:tcPr>
          <w:p>
            <w:pPr>
              <w:spacing w:after="20" w:before="0" w:line="240" w:lineRule="auto"/>
            </w:pPr>
            <w:r>
              <w:rPr>
                <w:b/>
                <w:color w:val="FFFFFF"/>
                <w:sz w:val="15"/>
              </w:rPr>
              <w:t>Dimension</w:t>
            </w:r>
          </w:p>
        </w:tc>
        <w:tc>
          <w:tcPr>
            <w:tcW w:type="dxa" w:w="1000"/>
            <w:vAlign w:val="top"/>
            <w:shd w:fill="2D3924"/>
          </w:tcPr>
          <w:p>
            <w:pPr>
              <w:spacing w:after="20" w:before="0" w:line="240" w:lineRule="auto"/>
            </w:pPr>
            <w:r>
              <w:rPr>
                <w:b/>
                <w:color w:val="FFFFFF"/>
                <w:sz w:val="15"/>
              </w:rPr>
              <w:t>Score</w:t>
            </w:r>
          </w:p>
        </w:tc>
        <w:tc>
          <w:tcPr>
            <w:tcW w:type="dxa" w:w="5700"/>
            <w:vAlign w:val="top"/>
            <w:shd w:fill="2D3924"/>
          </w:tcPr>
          <w:p>
            <w:pPr>
              <w:spacing w:after="20" w:before="0" w:line="240" w:lineRule="auto"/>
            </w:pPr>
            <w:r>
              <w:rPr>
                <w:b/>
                <w:color w:val="FFFFFF"/>
                <w:sz w:val="15"/>
              </w:rPr>
              <w:t>What good looks like</w:t>
            </w:r>
          </w:p>
        </w:tc>
      </w:tr>
      <w:tr>
        <w:trPr>
          <w:cantSplit/>
        </w:trPr>
        <w:tc>
          <w:tcPr>
            <w:tcW w:type="dxa" w:w="2300"/>
            <w:vAlign w:val="top"/>
          </w:tcPr>
          <w:p>
            <w:pPr>
              <w:spacing w:after="20" w:before="0" w:line="240" w:lineRule="auto"/>
            </w:pPr>
            <w:r>
              <w:rPr>
                <w:color w:val="1B1C19"/>
                <w:sz w:val="14"/>
              </w:rPr>
              <w:t>Ownership clarity</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Control owner, process owner, system owner, data owner, evidence owner, AI boundary owner, and remediation owner are clear where relevant.</w:t>
            </w:r>
          </w:p>
        </w:tc>
      </w:tr>
      <w:tr>
        <w:trPr>
          <w:cantSplit/>
        </w:trPr>
        <w:tc>
          <w:tcPr>
            <w:tcW w:type="dxa" w:w="2300"/>
            <w:vAlign w:val="top"/>
            <w:shd w:fill="F0EEE9"/>
          </w:tcPr>
          <w:p>
            <w:pPr>
              <w:spacing w:after="20" w:before="0" w:line="240" w:lineRule="auto"/>
            </w:pPr>
            <w:r>
              <w:rPr>
                <w:color w:val="1B1C19"/>
                <w:sz w:val="14"/>
              </w:rPr>
              <w:t>Control purpose clarity</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The risk, obligation, behavior, decision, workflow, or AI boundary being controlled is explicit.</w:t>
            </w:r>
          </w:p>
        </w:tc>
      </w:tr>
      <w:tr>
        <w:trPr>
          <w:cantSplit/>
        </w:trPr>
        <w:tc>
          <w:tcPr>
            <w:tcW w:type="dxa" w:w="2300"/>
            <w:vAlign w:val="top"/>
          </w:tcPr>
          <w:p>
            <w:pPr>
              <w:spacing w:after="20" w:before="0" w:line="240" w:lineRule="auto"/>
            </w:pPr>
            <w:r>
              <w:rPr>
                <w:color w:val="1B1C19"/>
                <w:sz w:val="14"/>
              </w:rPr>
              <w:t>Evidence strength</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Evidence is current, sourced, owned, durable, testable, and stored in a known system of record.</w:t>
            </w:r>
          </w:p>
        </w:tc>
      </w:tr>
      <w:tr>
        <w:trPr>
          <w:cantSplit/>
        </w:trPr>
        <w:tc>
          <w:tcPr>
            <w:tcW w:type="dxa" w:w="2300"/>
            <w:vAlign w:val="top"/>
            <w:shd w:fill="F0EEE9"/>
          </w:tcPr>
          <w:p>
            <w:pPr>
              <w:spacing w:after="20" w:before="0" w:line="240" w:lineRule="auto"/>
            </w:pPr>
            <w:r>
              <w:rPr>
                <w:color w:val="1B1C19"/>
                <w:sz w:val="14"/>
              </w:rPr>
              <w:t>System and data lineage</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The control is connected to platforms, integrations, data objects, reports, logs, workflows, and source-of-truth objects.</w:t>
            </w:r>
          </w:p>
        </w:tc>
      </w:tr>
      <w:tr>
        <w:trPr>
          <w:cantSplit/>
        </w:trPr>
        <w:tc>
          <w:tcPr>
            <w:tcW w:type="dxa" w:w="2300"/>
            <w:vAlign w:val="top"/>
          </w:tcPr>
          <w:p>
            <w:pPr>
              <w:spacing w:after="20" w:before="0" w:line="240" w:lineRule="auto"/>
            </w:pPr>
            <w:r>
              <w:rPr>
                <w:color w:val="1B1C19"/>
                <w:sz w:val="14"/>
              </w:rPr>
              <w:t>Testability</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The control has a defined test method, frequency, sample or automation rule, and pass/fail criteria.</w:t>
            </w:r>
          </w:p>
        </w:tc>
      </w:tr>
      <w:tr>
        <w:trPr>
          <w:cantSplit/>
        </w:trPr>
        <w:tc>
          <w:tcPr>
            <w:tcW w:type="dxa" w:w="2300"/>
            <w:vAlign w:val="top"/>
            <w:shd w:fill="F0EEE9"/>
          </w:tcPr>
          <w:p>
            <w:pPr>
              <w:spacing w:after="20" w:before="0" w:line="240" w:lineRule="auto"/>
            </w:pPr>
            <w:r>
              <w:rPr>
                <w:color w:val="1B1C19"/>
                <w:sz w:val="14"/>
              </w:rPr>
              <w:t>AI boundary clarity</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AI allowed actions, blocked actions, review rules, logs, retrieval limits, and kill switch are documented.</w:t>
            </w:r>
          </w:p>
        </w:tc>
      </w:tr>
      <w:tr>
        <w:trPr>
          <w:cantSplit/>
        </w:trPr>
        <w:tc>
          <w:tcPr>
            <w:tcW w:type="dxa" w:w="2300"/>
            <w:vAlign w:val="top"/>
          </w:tcPr>
          <w:p>
            <w:pPr>
              <w:spacing w:after="20" w:before="0" w:line="240" w:lineRule="auto"/>
            </w:pPr>
            <w:r>
              <w:rPr>
                <w:color w:val="1B1C19"/>
                <w:sz w:val="14"/>
              </w:rPr>
              <w:t>Exception handling</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Exceptions have owner, rationale, expiration date, evidence, escalation route, and remediation path.</w:t>
            </w:r>
          </w:p>
        </w:tc>
      </w:tr>
      <w:tr>
        <w:trPr>
          <w:cantSplit/>
        </w:trPr>
        <w:tc>
          <w:tcPr>
            <w:tcW w:type="dxa" w:w="2300"/>
            <w:vAlign w:val="top"/>
            <w:shd w:fill="F0EEE9"/>
          </w:tcPr>
          <w:p>
            <w:pPr>
              <w:spacing w:after="20" w:before="0" w:line="240" w:lineRule="auto"/>
            </w:pPr>
            <w:r>
              <w:rPr>
                <w:color w:val="1B1C19"/>
                <w:sz w:val="14"/>
              </w:rPr>
              <w:t>Failure response</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Failure condition, escalation path, remediation owner, SLA, and review trigger are defined.</w:t>
            </w:r>
          </w:p>
        </w:tc>
      </w:tr>
      <w:tr>
        <w:trPr>
          <w:cantSplit/>
        </w:trPr>
        <w:tc>
          <w:tcPr>
            <w:tcW w:type="dxa" w:w="2300"/>
            <w:vAlign w:val="top"/>
          </w:tcPr>
          <w:p>
            <w:pPr>
              <w:spacing w:after="20" w:before="0" w:line="240" w:lineRule="auto"/>
            </w:pPr>
            <w:r>
              <w:rPr>
                <w:color w:val="1B1C19"/>
                <w:sz w:val="14"/>
              </w:rPr>
              <w:t>Control rationalization</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Duplicate, stale, manual, low-value, or policy-only controls are identified for retirement or redesign.</w:t>
            </w:r>
          </w:p>
        </w:tc>
      </w:tr>
      <w:tr>
        <w:trPr>
          <w:cantSplit/>
        </w:trPr>
        <w:tc>
          <w:tcPr>
            <w:tcW w:type="dxa" w:w="2300"/>
            <w:vAlign w:val="top"/>
            <w:shd w:fill="F0EEE9"/>
          </w:tcPr>
          <w:p>
            <w:pPr>
              <w:spacing w:after="20" w:before="0" w:line="240" w:lineRule="auto"/>
            </w:pPr>
            <w:r>
              <w:rPr>
                <w:color w:val="1B1C19"/>
                <w:sz w:val="14"/>
              </w:rPr>
              <w:t>Governance readiness</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Controls are connected to governance routes, decision logs, evidence checklists, platform maps, workflow inventory, and AI initiatives.</w:t>
            </w:r>
          </w:p>
        </w:tc>
      </w:tr>
    </w:tbl>
    <w:p/>
    <w:p>
      <w:pPr>
        <w:spacing w:after="100"/>
      </w:pPr>
      <w:r>
        <w:rPr>
          <w:rFonts w:ascii="Aptos" w:hAnsi="Aptos"/>
          <w:color w:val="1B1C19"/>
          <w:sz w:val="18"/>
        </w:rPr>
        <w:t>Suggested readiness score: average the ten scores, then classify 0-1.9 as Fragmented control environment, 2.0-3.4 as Mapped but weakly monitored controls, 3.5-4.4 as Governed control layer, and 4.5-5.0 as AI-ready control architecture.</w:t>
      </w:r>
    </w:p>
    <w:p>
      <w:r>
        <w:br w:type="page"/>
      </w:r>
    </w:p>
    <w:p>
      <w:pPr>
        <w:pStyle w:val="Heading1"/>
      </w:pPr>
      <w:r>
        <w:rPr>
          <w:rFonts w:ascii="Aptos Display" w:hAnsi="Aptos Display"/>
          <w:color w:val="2D3924"/>
        </w:rPr>
        <w:t>AI prompts</w:t>
      </w:r>
    </w:p>
    <w:p>
      <w:pPr>
        <w:pStyle w:val="ListBullet"/>
      </w:pPr>
      <w:r>
        <w:rPr>
          <w:color w:val="1B1C19"/>
          <w:sz w:val="17"/>
        </w:rPr>
        <w:t>Given this control, classify the control category, risk or obligation, accountable owners, evidence source, test method, AI involvement, and recommended governance route.</w:t>
      </w:r>
    </w:p>
    <w:p>
      <w:pPr>
        <w:pStyle w:val="ListBullet"/>
      </w:pPr>
      <w:r>
        <w:rPr>
          <w:color w:val="1B1C19"/>
          <w:sz w:val="17"/>
        </w:rPr>
        <w:t>Identify missing control owners, weak evidence, stale review dates, unclear AI boundaries, source-of-truth gaps, data lineage gaps, and missing failure paths.</w:t>
      </w:r>
    </w:p>
    <w:p>
      <w:pPr>
        <w:pStyle w:val="ListBullet"/>
      </w:pPr>
      <w:r>
        <w:rPr>
          <w:color w:val="1B1C19"/>
          <w:sz w:val="17"/>
        </w:rPr>
        <w:t>Determine whether this control should be preventive, detective, corrective, approval-based, automated, manual, retired, redesigned, or escalated.</w:t>
      </w:r>
    </w:p>
    <w:p>
      <w:pPr>
        <w:pStyle w:val="ListBullet"/>
      </w:pPr>
      <w:r>
        <w:rPr>
          <w:color w:val="1B1C19"/>
          <w:sz w:val="17"/>
        </w:rPr>
        <w:t>Score the control from 0 to 5 across ownership clarity, control purpose clarity, evidence strength, system and data lineage, testability, AI boundary clarity, exception handling, failure response, control rationalization, and governance readiness.</w:t>
      </w:r>
    </w:p>
    <w:p>
      <w:pPr>
        <w:pStyle w:val="ListBullet"/>
      </w:pPr>
      <w:r>
        <w:rPr>
          <w:color w:val="1B1C19"/>
          <w:sz w:val="17"/>
        </w:rPr>
        <w:t>Generate the minimum evidence package required to prove this control is operating effectively.</w:t>
      </w:r>
    </w:p>
    <w:p>
      <w:pPr>
        <w:pStyle w:val="ListBullet"/>
      </w:pPr>
      <w:r>
        <w:rPr>
          <w:color w:val="1B1C19"/>
          <w:sz w:val="17"/>
        </w:rPr>
        <w:t>Draft a remediation plan for a failed or stale control, including owner, failure condition, fix, evidence, escalation path, and review date.</w:t>
      </w:r>
    </w:p>
    <w:p>
      <w:pPr>
        <w:pStyle w:val="ListBullet"/>
      </w:pPr>
      <w:r>
        <w:rPr>
          <w:color w:val="1B1C19"/>
          <w:sz w:val="17"/>
        </w:rPr>
        <w:t>Create a Lapemo ingestion plan that turns this control map into control, owner, evidence, system, data, AI boundary, exception, issue, and governance route objects.</w:t>
      </w:r>
    </w:p>
    <w:p>
      <w:pPr>
        <w:pStyle w:val="Heading1"/>
      </w:pPr>
      <w:r>
        <w:rPr>
          <w:rFonts w:ascii="Aptos Display" w:hAnsi="Aptos Display"/>
          <w:color w:val="2D3924"/>
        </w:rPr>
        <w:t>Validation rules</w:t>
      </w:r>
    </w:p>
    <w:p>
      <w:pPr>
        <w:pStyle w:val="ListBullet"/>
      </w:pPr>
      <w:r>
        <w:rPr>
          <w:color w:val="1B1C19"/>
          <w:sz w:val="17"/>
        </w:rPr>
        <w:t>Every control must have one accountable control owner.</w:t>
      </w:r>
    </w:p>
    <w:p>
      <w:pPr>
        <w:pStyle w:val="ListBullet"/>
      </w:pPr>
      <w:r>
        <w:rPr>
          <w:color w:val="1B1C19"/>
          <w:sz w:val="17"/>
        </w:rPr>
        <w:t>Every control must state the risk, obligation, behavior, workflow, decision, or AI boundary it controls.</w:t>
      </w:r>
    </w:p>
    <w:p>
      <w:pPr>
        <w:pStyle w:val="ListBullet"/>
      </w:pPr>
      <w:r>
        <w:rPr>
          <w:color w:val="1B1C19"/>
          <w:sz w:val="17"/>
        </w:rPr>
        <w:t>Every control must identify evidence source, evidence owner, test method, frequency, and review date.</w:t>
      </w:r>
    </w:p>
    <w:p>
      <w:pPr>
        <w:pStyle w:val="ListBullet"/>
      </w:pPr>
      <w:r>
        <w:rPr>
          <w:color w:val="1B1C19"/>
          <w:sz w:val="17"/>
        </w:rPr>
        <w:t>Every control touching a system must name the system owner and system of record or execution environment.</w:t>
      </w:r>
    </w:p>
    <w:p>
      <w:pPr>
        <w:pStyle w:val="ListBullet"/>
      </w:pPr>
      <w:r>
        <w:rPr>
          <w:color w:val="1B1C19"/>
          <w:sz w:val="17"/>
        </w:rPr>
        <w:t>Every control touching data must name the data owner, source of truth, lineage dependency, sensitivity, and freshness rule.</w:t>
      </w:r>
    </w:p>
    <w:p>
      <w:pPr>
        <w:pStyle w:val="ListBullet"/>
      </w:pPr>
      <w:r>
        <w:rPr>
          <w:color w:val="1B1C19"/>
          <w:sz w:val="17"/>
        </w:rPr>
        <w:t>Every AI-involved control must define allowed AI actions, blocked AI actions, human review rule, logging rule, and kill-switch or escalation path.</w:t>
      </w:r>
    </w:p>
    <w:p>
      <w:pPr>
        <w:pStyle w:val="ListBullet"/>
      </w:pPr>
      <w:r>
        <w:rPr>
          <w:color w:val="1B1C19"/>
          <w:sz w:val="17"/>
        </w:rPr>
        <w:t>Every failed control must have a failure condition, escalation route, remediation owner, and target resolution time.</w:t>
      </w:r>
    </w:p>
    <w:p>
      <w:pPr>
        <w:pStyle w:val="ListBullet"/>
      </w:pPr>
      <w:r>
        <w:rPr>
          <w:color w:val="1B1C19"/>
          <w:sz w:val="17"/>
        </w:rPr>
        <w:t>Every exception must have an owner, rationale, approval authority, expiration date, evidence requirement, and review date.</w:t>
      </w:r>
    </w:p>
    <w:p>
      <w:pPr>
        <w:pStyle w:val="ListBullet"/>
      </w:pPr>
      <w:r>
        <w:rPr>
          <w:color w:val="1B1C19"/>
          <w:sz w:val="17"/>
        </w:rPr>
        <w:t>A control cannot be considered active if ownership is unclear, evidence is missing, review date is stale, or test method is undefined.</w:t>
      </w:r>
    </w:p>
    <w:p>
      <w:pPr>
        <w:pStyle w:val="ListBullet"/>
      </w:pPr>
      <w:r>
        <w:rPr>
          <w:color w:val="1B1C19"/>
          <w:sz w:val="17"/>
        </w:rPr>
        <w:t>Status must never be encoded only by color. Use labels such as active, stale, failed, exception, retired, redesign, AI-sensitive, or escalated.</w:t>
      </w:r>
    </w:p>
    <w:p>
      <w:pPr>
        <w:pStyle w:val="Heading1"/>
      </w:pPr>
      <w:r>
        <w:rPr>
          <w:rFonts w:ascii="Aptos Display" w:hAnsi="Aptos Display"/>
          <w:color w:val="2D3924"/>
        </w:rPr>
        <w:t>Lapemo ingestion mapping</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200"/>
            <w:vAlign w:val="top"/>
            <w:shd w:fill="2D3924"/>
          </w:tcPr>
          <w:p>
            <w:pPr>
              <w:spacing w:after="20" w:before="0" w:line="240" w:lineRule="auto"/>
            </w:pPr>
            <w:r>
              <w:rPr>
                <w:b/>
                <w:color w:val="FFFFFF"/>
                <w:sz w:val="15"/>
              </w:rPr>
              <w:t>Lapemo object</w:t>
            </w:r>
          </w:p>
        </w:tc>
        <w:tc>
          <w:tcPr>
            <w:tcW w:type="dxa" w:w="3900"/>
            <w:vAlign w:val="top"/>
            <w:shd w:fill="2D3924"/>
          </w:tcPr>
          <w:p>
            <w:pPr>
              <w:spacing w:after="20" w:before="0" w:line="240" w:lineRule="auto"/>
            </w:pPr>
            <w:r>
              <w:rPr>
                <w:b/>
                <w:color w:val="FFFFFF"/>
                <w:sz w:val="15"/>
              </w:rPr>
              <w:t>Fields / entities</w:t>
            </w:r>
          </w:p>
        </w:tc>
        <w:tc>
          <w:tcPr>
            <w:tcW w:type="dxa" w:w="3300"/>
            <w:vAlign w:val="top"/>
            <w:shd w:fill="2D3924"/>
          </w:tcPr>
          <w:p>
            <w:pPr>
              <w:spacing w:after="20" w:before="0" w:line="240" w:lineRule="auto"/>
            </w:pPr>
            <w:r>
              <w:rPr>
                <w:b/>
                <w:color w:val="FFFFFF"/>
                <w:sz w:val="15"/>
              </w:rPr>
              <w:t>Use</w:t>
            </w:r>
          </w:p>
        </w:tc>
      </w:tr>
      <w:tr>
        <w:trPr>
          <w:cantSplit/>
        </w:trPr>
        <w:tc>
          <w:tcPr>
            <w:tcW w:type="dxa" w:w="2200"/>
            <w:vAlign w:val="top"/>
          </w:tcPr>
          <w:p>
            <w:pPr>
              <w:spacing w:after="20" w:before="0" w:line="240" w:lineRule="auto"/>
            </w:pPr>
            <w:r>
              <w:rPr>
                <w:color w:val="1B1C19"/>
                <w:sz w:val="14"/>
              </w:rPr>
              <w:t>Knowledge object</w:t>
            </w:r>
          </w:p>
        </w:tc>
        <w:tc>
          <w:tcPr>
            <w:tcW w:type="dxa" w:w="3900"/>
            <w:vAlign w:val="top"/>
          </w:tcPr>
          <w:p>
            <w:pPr>
              <w:spacing w:after="20" w:before="0" w:line="240" w:lineRule="auto"/>
            </w:pPr>
            <w:r>
              <w:rPr>
                <w:color w:val="1B1C19"/>
                <w:sz w:val="14"/>
              </w:rPr>
              <w:t>Control Map</w:t>
            </w:r>
          </w:p>
        </w:tc>
        <w:tc>
          <w:tcPr>
            <w:tcW w:type="dxa" w:w="3300"/>
            <w:vAlign w:val="top"/>
          </w:tcPr>
          <w:p>
            <w:pPr>
              <w:spacing w:after="20" w:before="0" w:line="240" w:lineRule="auto"/>
            </w:pPr>
            <w:r>
              <w:rPr>
                <w:color w:val="1B1C19"/>
                <w:sz w:val="14"/>
              </w:rPr>
              <w:t>Canonical reusable artifact for governance-layer control ownership and monitoring.</w:t>
            </w:r>
          </w:p>
        </w:tc>
      </w:tr>
      <w:tr>
        <w:trPr>
          <w:cantSplit/>
        </w:trPr>
        <w:tc>
          <w:tcPr>
            <w:tcW w:type="dxa" w:w="2200"/>
            <w:vAlign w:val="top"/>
            <w:shd w:fill="F0EEE9"/>
          </w:tcPr>
          <w:p>
            <w:pPr>
              <w:spacing w:after="20" w:before="0" w:line="240" w:lineRule="auto"/>
            </w:pPr>
            <w:r>
              <w:rPr>
                <w:color w:val="1B1C19"/>
                <w:sz w:val="14"/>
              </w:rPr>
              <w:t>Control object</w:t>
            </w:r>
          </w:p>
        </w:tc>
        <w:tc>
          <w:tcPr>
            <w:tcW w:type="dxa" w:w="3900"/>
            <w:vAlign w:val="top"/>
            <w:shd w:fill="F0EEE9"/>
          </w:tcPr>
          <w:p>
            <w:pPr>
              <w:spacing w:after="20" w:before="0" w:line="240" w:lineRule="auto"/>
            </w:pPr>
            <w:r>
              <w:rPr>
                <w:color w:val="1B1C19"/>
                <w:sz w:val="14"/>
              </w:rPr>
              <w:t>Control ID, name, purpose, category, risk, frequency, test method, status</w:t>
            </w:r>
          </w:p>
        </w:tc>
        <w:tc>
          <w:tcPr>
            <w:tcW w:type="dxa" w:w="3300"/>
            <w:vAlign w:val="top"/>
            <w:shd w:fill="F0EEE9"/>
          </w:tcPr>
          <w:p>
            <w:pPr>
              <w:spacing w:after="20" w:before="0" w:line="240" w:lineRule="auto"/>
            </w:pPr>
            <w:r>
              <w:rPr>
                <w:color w:val="1B1C19"/>
                <w:sz w:val="14"/>
              </w:rPr>
              <w:t>Creates structured controls that can be monitored and reviewed.</w:t>
            </w:r>
          </w:p>
        </w:tc>
      </w:tr>
      <w:tr>
        <w:trPr>
          <w:cantSplit/>
        </w:trPr>
        <w:tc>
          <w:tcPr>
            <w:tcW w:type="dxa" w:w="2200"/>
            <w:vAlign w:val="top"/>
          </w:tcPr>
          <w:p>
            <w:pPr>
              <w:spacing w:after="20" w:before="0" w:line="240" w:lineRule="auto"/>
            </w:pPr>
            <w:r>
              <w:rPr>
                <w:color w:val="1B1C19"/>
                <w:sz w:val="14"/>
              </w:rPr>
              <w:t>Ownership object</w:t>
            </w:r>
          </w:p>
        </w:tc>
        <w:tc>
          <w:tcPr>
            <w:tcW w:type="dxa" w:w="3900"/>
            <w:vAlign w:val="top"/>
          </w:tcPr>
          <w:p>
            <w:pPr>
              <w:spacing w:after="20" w:before="0" w:line="240" w:lineRule="auto"/>
            </w:pPr>
            <w:r>
              <w:rPr>
                <w:color w:val="1B1C19"/>
                <w:sz w:val="14"/>
              </w:rPr>
              <w:t>Control owner, process owner, system owner, data owner, evidence owner, remediation owner</w:t>
            </w:r>
          </w:p>
        </w:tc>
        <w:tc>
          <w:tcPr>
            <w:tcW w:type="dxa" w:w="3300"/>
            <w:vAlign w:val="top"/>
          </w:tcPr>
          <w:p>
            <w:pPr>
              <w:spacing w:after="20" w:before="0" w:line="240" w:lineRule="auto"/>
            </w:pPr>
            <w:r>
              <w:rPr>
                <w:color w:val="1B1C19"/>
                <w:sz w:val="14"/>
              </w:rPr>
              <w:t>Connects controls to accountable roles across the operating model.</w:t>
            </w:r>
          </w:p>
        </w:tc>
      </w:tr>
      <w:tr>
        <w:trPr>
          <w:cantSplit/>
        </w:trPr>
        <w:tc>
          <w:tcPr>
            <w:tcW w:type="dxa" w:w="2200"/>
            <w:vAlign w:val="top"/>
            <w:shd w:fill="F0EEE9"/>
          </w:tcPr>
          <w:p>
            <w:pPr>
              <w:spacing w:after="20" w:before="0" w:line="240" w:lineRule="auto"/>
            </w:pPr>
            <w:r>
              <w:rPr>
                <w:color w:val="1B1C19"/>
                <w:sz w:val="14"/>
              </w:rPr>
              <w:t>Evidence object</w:t>
            </w:r>
          </w:p>
        </w:tc>
        <w:tc>
          <w:tcPr>
            <w:tcW w:type="dxa" w:w="3900"/>
            <w:vAlign w:val="top"/>
            <w:shd w:fill="F0EEE9"/>
          </w:tcPr>
          <w:p>
            <w:pPr>
              <w:spacing w:after="20" w:before="0" w:line="240" w:lineRule="auto"/>
            </w:pPr>
            <w:r>
              <w:rPr>
                <w:color w:val="1B1C19"/>
                <w:sz w:val="14"/>
              </w:rPr>
              <w:t>Evidence source, evidence owner, freshness, confidence, storage location, test result</w:t>
            </w:r>
          </w:p>
        </w:tc>
        <w:tc>
          <w:tcPr>
            <w:tcW w:type="dxa" w:w="3300"/>
            <w:vAlign w:val="top"/>
            <w:shd w:fill="F0EEE9"/>
          </w:tcPr>
          <w:p>
            <w:pPr>
              <w:spacing w:after="20" w:before="0" w:line="240" w:lineRule="auto"/>
            </w:pPr>
            <w:r>
              <w:rPr>
                <w:color w:val="1B1C19"/>
                <w:sz w:val="14"/>
              </w:rPr>
              <w:t>Turns control assurance into inspectable proof.</w:t>
            </w:r>
          </w:p>
        </w:tc>
      </w:tr>
      <w:tr>
        <w:trPr>
          <w:cantSplit/>
        </w:trPr>
        <w:tc>
          <w:tcPr>
            <w:tcW w:type="dxa" w:w="2200"/>
            <w:vAlign w:val="top"/>
          </w:tcPr>
          <w:p>
            <w:pPr>
              <w:spacing w:after="20" w:before="0" w:line="240" w:lineRule="auto"/>
            </w:pPr>
            <w:r>
              <w:rPr>
                <w:color w:val="1B1C19"/>
                <w:sz w:val="14"/>
              </w:rPr>
              <w:t>Platform object</w:t>
            </w:r>
          </w:p>
        </w:tc>
        <w:tc>
          <w:tcPr>
            <w:tcW w:type="dxa" w:w="3900"/>
            <w:vAlign w:val="top"/>
          </w:tcPr>
          <w:p>
            <w:pPr>
              <w:spacing w:after="20" w:before="0" w:line="240" w:lineRule="auto"/>
            </w:pPr>
            <w:r>
              <w:rPr>
                <w:color w:val="1B1C19"/>
                <w:sz w:val="14"/>
              </w:rPr>
              <w:t>System owner, execution system, system of record, logs, integrations, access model</w:t>
            </w:r>
          </w:p>
        </w:tc>
        <w:tc>
          <w:tcPr>
            <w:tcW w:type="dxa" w:w="3300"/>
            <w:vAlign w:val="top"/>
          </w:tcPr>
          <w:p>
            <w:pPr>
              <w:spacing w:after="20" w:before="0" w:line="240" w:lineRule="auto"/>
            </w:pPr>
            <w:r>
              <w:rPr>
                <w:color w:val="1B1C19"/>
                <w:sz w:val="14"/>
              </w:rPr>
              <w:t>Connects controls to tools, systems, and integration points.</w:t>
            </w:r>
          </w:p>
        </w:tc>
      </w:tr>
      <w:tr>
        <w:trPr>
          <w:cantSplit/>
        </w:trPr>
        <w:tc>
          <w:tcPr>
            <w:tcW w:type="dxa" w:w="2200"/>
            <w:vAlign w:val="top"/>
            <w:shd w:fill="F0EEE9"/>
          </w:tcPr>
          <w:p>
            <w:pPr>
              <w:spacing w:after="20" w:before="0" w:line="240" w:lineRule="auto"/>
            </w:pPr>
            <w:r>
              <w:rPr>
                <w:color w:val="1B1C19"/>
                <w:sz w:val="14"/>
              </w:rPr>
              <w:t>Data object</w:t>
            </w:r>
          </w:p>
        </w:tc>
        <w:tc>
          <w:tcPr>
            <w:tcW w:type="dxa" w:w="3900"/>
            <w:vAlign w:val="top"/>
            <w:shd w:fill="F0EEE9"/>
          </w:tcPr>
          <w:p>
            <w:pPr>
              <w:spacing w:after="20" w:before="0" w:line="240" w:lineRule="auto"/>
            </w:pPr>
            <w:r>
              <w:rPr>
                <w:color w:val="1B1C19"/>
                <w:sz w:val="14"/>
              </w:rPr>
              <w:t>Data source, data owner, lineage, sensitivity, freshness, downstream use</w:t>
            </w:r>
          </w:p>
        </w:tc>
        <w:tc>
          <w:tcPr>
            <w:tcW w:type="dxa" w:w="3300"/>
            <w:vAlign w:val="top"/>
            <w:shd w:fill="F0EEE9"/>
          </w:tcPr>
          <w:p>
            <w:pPr>
              <w:spacing w:after="20" w:before="0" w:line="240" w:lineRule="auto"/>
            </w:pPr>
            <w:r>
              <w:rPr>
                <w:color w:val="1B1C19"/>
                <w:sz w:val="14"/>
              </w:rPr>
              <w:t>Connects controls to data lineage and source-of-truth rules.</w:t>
            </w:r>
          </w:p>
        </w:tc>
      </w:tr>
      <w:tr>
        <w:trPr>
          <w:cantSplit/>
        </w:trPr>
        <w:tc>
          <w:tcPr>
            <w:tcW w:type="dxa" w:w="2200"/>
            <w:vAlign w:val="top"/>
          </w:tcPr>
          <w:p>
            <w:pPr>
              <w:spacing w:after="20" w:before="0" w:line="240" w:lineRule="auto"/>
            </w:pPr>
            <w:r>
              <w:rPr>
                <w:color w:val="1B1C19"/>
                <w:sz w:val="14"/>
              </w:rPr>
              <w:t>AI boundary object</w:t>
            </w:r>
          </w:p>
        </w:tc>
        <w:tc>
          <w:tcPr>
            <w:tcW w:type="dxa" w:w="3900"/>
            <w:vAlign w:val="top"/>
          </w:tcPr>
          <w:p>
            <w:pPr>
              <w:spacing w:after="20" w:before="0" w:line="240" w:lineRule="auto"/>
            </w:pPr>
            <w:r>
              <w:rPr>
                <w:color w:val="1B1C19"/>
                <w:sz w:val="14"/>
              </w:rPr>
              <w:t>AI involvement, allowed actions, blocked actions, human review, logs, kill switch</w:t>
            </w:r>
          </w:p>
        </w:tc>
        <w:tc>
          <w:tcPr>
            <w:tcW w:type="dxa" w:w="3300"/>
            <w:vAlign w:val="top"/>
          </w:tcPr>
          <w:p>
            <w:pPr>
              <w:spacing w:after="20" w:before="0" w:line="240" w:lineRule="auto"/>
            </w:pPr>
            <w:r>
              <w:rPr>
                <w:color w:val="1B1C19"/>
                <w:sz w:val="14"/>
              </w:rPr>
              <w:t>Controls AI usage inside governance-sensitive workflows.</w:t>
            </w:r>
          </w:p>
        </w:tc>
      </w:tr>
      <w:tr>
        <w:trPr>
          <w:cantSplit/>
        </w:trPr>
        <w:tc>
          <w:tcPr>
            <w:tcW w:type="dxa" w:w="2200"/>
            <w:vAlign w:val="top"/>
            <w:shd w:fill="F0EEE9"/>
          </w:tcPr>
          <w:p>
            <w:pPr>
              <w:spacing w:after="20" w:before="0" w:line="240" w:lineRule="auto"/>
            </w:pPr>
            <w:r>
              <w:rPr>
                <w:color w:val="1B1C19"/>
                <w:sz w:val="14"/>
              </w:rPr>
              <w:t>Exception object</w:t>
            </w:r>
          </w:p>
        </w:tc>
        <w:tc>
          <w:tcPr>
            <w:tcW w:type="dxa" w:w="3900"/>
            <w:vAlign w:val="top"/>
            <w:shd w:fill="F0EEE9"/>
          </w:tcPr>
          <w:p>
            <w:pPr>
              <w:spacing w:after="20" w:before="0" w:line="240" w:lineRule="auto"/>
            </w:pPr>
            <w:r>
              <w:rPr>
                <w:color w:val="1B1C19"/>
                <w:sz w:val="14"/>
              </w:rPr>
              <w:t>Exception owner, rationale, approval, expiration, remediation, review date</w:t>
            </w:r>
          </w:p>
        </w:tc>
        <w:tc>
          <w:tcPr>
            <w:tcW w:type="dxa" w:w="3300"/>
            <w:vAlign w:val="top"/>
            <w:shd w:fill="F0EEE9"/>
          </w:tcPr>
          <w:p>
            <w:pPr>
              <w:spacing w:after="20" w:before="0" w:line="240" w:lineRule="auto"/>
            </w:pPr>
            <w:r>
              <w:rPr>
                <w:color w:val="1B1C19"/>
                <w:sz w:val="14"/>
              </w:rPr>
              <w:t>Tracks temporary deviations and prevents permanent shadow governance.</w:t>
            </w:r>
          </w:p>
        </w:tc>
      </w:tr>
      <w:tr>
        <w:trPr>
          <w:cantSplit/>
        </w:trPr>
        <w:tc>
          <w:tcPr>
            <w:tcW w:type="dxa" w:w="2200"/>
            <w:vAlign w:val="top"/>
          </w:tcPr>
          <w:p>
            <w:pPr>
              <w:spacing w:after="20" w:before="0" w:line="240" w:lineRule="auto"/>
            </w:pPr>
            <w:r>
              <w:rPr>
                <w:color w:val="1B1C19"/>
                <w:sz w:val="14"/>
              </w:rPr>
              <w:t>Issue / escalation object</w:t>
            </w:r>
          </w:p>
        </w:tc>
        <w:tc>
          <w:tcPr>
            <w:tcW w:type="dxa" w:w="3900"/>
            <w:vAlign w:val="top"/>
          </w:tcPr>
          <w:p>
            <w:pPr>
              <w:spacing w:after="20" w:before="0" w:line="240" w:lineRule="auto"/>
            </w:pPr>
            <w:r>
              <w:rPr>
                <w:color w:val="1B1C19"/>
                <w:sz w:val="14"/>
              </w:rPr>
              <w:t>Failure condition, escalation route, remediation owner, SLA, outcome</w:t>
            </w:r>
          </w:p>
        </w:tc>
        <w:tc>
          <w:tcPr>
            <w:tcW w:type="dxa" w:w="3300"/>
            <w:vAlign w:val="top"/>
          </w:tcPr>
          <w:p>
            <w:pPr>
              <w:spacing w:after="20" w:before="0" w:line="240" w:lineRule="auto"/>
            </w:pPr>
            <w:r>
              <w:rPr>
                <w:color w:val="1B1C19"/>
                <w:sz w:val="14"/>
              </w:rPr>
              <w:t>Moves failed or stale controls into formal resolution.</w:t>
            </w:r>
          </w:p>
        </w:tc>
      </w:tr>
    </w:tbl>
    <w:p/>
    <w:p>
      <w:pPr>
        <w:pStyle w:val="Heading1"/>
      </w:pPr>
      <w:r>
        <w:rPr>
          <w:rFonts w:ascii="Aptos Display" w:hAnsi="Aptos Display"/>
          <w:color w:val="2D3924"/>
        </w:rPr>
        <w:t>Website positioning</w:t>
      </w:r>
    </w:p>
    <w:p>
      <w:pPr>
        <w:spacing w:after="100"/>
      </w:pPr>
      <w:r>
        <w:rPr>
          <w:rFonts w:ascii="Aptos" w:hAnsi="Aptos"/>
          <w:color w:val="1B1C19"/>
          <w:sz w:val="18"/>
        </w:rPr>
        <w:t>Use this artifact as a downloadable governance-layer control template and as a future guided skill inside Lapemo. The website version should explain that controls are not just audit artifacts. They are operating-model boundaries that connect ownership, evidence, systems, data, AI behavior, risk, and escalation.</w:t>
      </w:r>
    </w:p>
    <w:p>
      <w:pPr>
        <w:pStyle w:val="Heading1"/>
      </w:pPr>
      <w:r>
        <w:rPr>
          <w:rFonts w:ascii="Aptos Display" w:hAnsi="Aptos Display"/>
          <w:color w:val="2D3924"/>
        </w:rPr>
        <w:t>Reusable knowledge object structure</w:t>
      </w:r>
    </w:p>
    <w:tbl>
      <w:tblPr>
        <w:tblStyle w:val="TableGrid"/>
        <w:tblW w:type="auto" w:w="0"/>
        <w:jc w:val="center"/>
        <w:tblLook w:firstColumn="1" w:firstRow="1" w:lastColumn="0" w:lastRow="0" w:noHBand="0" w:noVBand="1" w:val="04A0"/>
      </w:tblPr>
      <w:tblGrid>
        <w:gridCol w:w="5328"/>
        <w:gridCol w:w="5328"/>
      </w:tblGrid>
      <w:tr>
        <w:trPr>
          <w:cantSplit/>
        </w:trPr>
        <w:tc>
          <w:tcPr>
            <w:tcW w:type="dxa" w:w="2400"/>
            <w:vAlign w:val="top"/>
            <w:shd w:fill="2D3924"/>
          </w:tcPr>
          <w:p>
            <w:pPr>
              <w:spacing w:after="20" w:before="0" w:line="240" w:lineRule="auto"/>
            </w:pPr>
            <w:r>
              <w:rPr>
                <w:b/>
                <w:color w:val="FFFFFF"/>
                <w:sz w:val="15"/>
              </w:rPr>
              <w:t>Layer</w:t>
            </w:r>
          </w:p>
        </w:tc>
        <w:tc>
          <w:tcPr>
            <w:tcW w:type="dxa" w:w="6600"/>
            <w:vAlign w:val="top"/>
            <w:shd w:fill="2D3924"/>
          </w:tcPr>
          <w:p>
            <w:pPr>
              <w:spacing w:after="20" w:before="0" w:line="240" w:lineRule="auto"/>
            </w:pPr>
            <w:r>
              <w:rPr>
                <w:b/>
                <w:color w:val="FFFFFF"/>
                <w:sz w:val="15"/>
              </w:rPr>
              <w:t>Reusable asset</w:t>
            </w:r>
          </w:p>
        </w:tc>
      </w:tr>
      <w:tr>
        <w:trPr>
          <w:cantSplit/>
        </w:trPr>
        <w:tc>
          <w:tcPr>
            <w:tcW w:type="dxa" w:w="2400"/>
            <w:vAlign w:val="top"/>
          </w:tcPr>
          <w:p>
            <w:pPr>
              <w:spacing w:after="20" w:before="0" w:line="240" w:lineRule="auto"/>
            </w:pPr>
            <w:r>
              <w:rPr>
                <w:color w:val="1B1C19"/>
                <w:sz w:val="14"/>
              </w:rPr>
              <w:t>Human guide</w:t>
            </w:r>
          </w:p>
        </w:tc>
        <w:tc>
          <w:tcPr>
            <w:tcW w:type="dxa" w:w="6600"/>
            <w:vAlign w:val="top"/>
          </w:tcPr>
          <w:p>
            <w:pPr>
              <w:spacing w:after="20" w:before="0" w:line="240" w:lineRule="auto"/>
            </w:pPr>
            <w:r>
              <w:rPr>
                <w:color w:val="1B1C19"/>
                <w:sz w:val="14"/>
              </w:rPr>
              <w:t>Plain-English explanation, control categories, map template, workflow, and scale-specific versions.</w:t>
            </w:r>
          </w:p>
        </w:tc>
      </w:tr>
      <w:tr>
        <w:trPr>
          <w:cantSplit/>
        </w:trPr>
        <w:tc>
          <w:tcPr>
            <w:tcW w:type="dxa" w:w="2400"/>
            <w:vAlign w:val="top"/>
            <w:shd w:fill="F0EEE9"/>
          </w:tcPr>
          <w:p>
            <w:pPr>
              <w:spacing w:after="20" w:before="0" w:line="240" w:lineRule="auto"/>
            </w:pPr>
            <w:r>
              <w:rPr>
                <w:color w:val="1B1C19"/>
                <w:sz w:val="14"/>
              </w:rPr>
              <w:t>Downloadable template</w:t>
            </w:r>
          </w:p>
        </w:tc>
        <w:tc>
          <w:tcPr>
            <w:tcW w:type="dxa" w:w="6600"/>
            <w:vAlign w:val="top"/>
            <w:shd w:fill="F0EEE9"/>
          </w:tcPr>
          <w:p>
            <w:pPr>
              <w:spacing w:after="20" w:before="0" w:line="240" w:lineRule="auto"/>
            </w:pPr>
            <w:r>
              <w:rPr>
                <w:color w:val="1B1C19"/>
                <w:sz w:val="14"/>
              </w:rPr>
              <w:t>DOCX and PDF for workshops, governance design, executive briefings, and website downloads.</w:t>
            </w:r>
          </w:p>
        </w:tc>
      </w:tr>
      <w:tr>
        <w:trPr>
          <w:cantSplit/>
        </w:trPr>
        <w:tc>
          <w:tcPr>
            <w:tcW w:type="dxa" w:w="2400"/>
            <w:vAlign w:val="top"/>
          </w:tcPr>
          <w:p>
            <w:pPr>
              <w:spacing w:after="20" w:before="0" w:line="240" w:lineRule="auto"/>
            </w:pPr>
            <w:r>
              <w:rPr>
                <w:color w:val="1B1C19"/>
                <w:sz w:val="14"/>
              </w:rPr>
              <w:t>Machine-readable schema</w:t>
            </w:r>
          </w:p>
        </w:tc>
        <w:tc>
          <w:tcPr>
            <w:tcW w:type="dxa" w:w="6600"/>
            <w:vAlign w:val="top"/>
          </w:tcPr>
          <w:p>
            <w:pPr>
              <w:spacing w:after="20" w:before="0" w:line="240" w:lineRule="auto"/>
            </w:pPr>
            <w:r>
              <w:rPr>
                <w:color w:val="1B1C19"/>
                <w:sz w:val="14"/>
              </w:rPr>
              <w:t>JSON object with required fields, scoring logic, prompts, validation rules, and Lapemo mappings.</w:t>
            </w:r>
          </w:p>
        </w:tc>
      </w:tr>
      <w:tr>
        <w:trPr>
          <w:cantSplit/>
        </w:trPr>
        <w:tc>
          <w:tcPr>
            <w:tcW w:type="dxa" w:w="2400"/>
            <w:vAlign w:val="top"/>
            <w:shd w:fill="F0EEE9"/>
          </w:tcPr>
          <w:p>
            <w:pPr>
              <w:spacing w:after="20" w:before="0" w:line="240" w:lineRule="auto"/>
            </w:pPr>
            <w:r>
              <w:rPr>
                <w:color w:val="1B1C19"/>
                <w:sz w:val="14"/>
              </w:rPr>
              <w:t>Guided skill</w:t>
            </w:r>
          </w:p>
        </w:tc>
        <w:tc>
          <w:tcPr>
            <w:tcW w:type="dxa" w:w="6600"/>
            <w:vAlign w:val="top"/>
            <w:shd w:fill="F0EEE9"/>
          </w:tcPr>
          <w:p>
            <w:pPr>
              <w:spacing w:after="20" w:before="0" w:line="240" w:lineRule="auto"/>
            </w:pPr>
            <w:r>
              <w:rPr>
                <w:color w:val="1B1C19"/>
                <w:sz w:val="14"/>
              </w:rPr>
              <w:t>Future Lapemo workflow that asks control-mapping questions, scores control health, validates evidence, and recommends remediation or escalation.</w:t>
            </w:r>
          </w:p>
        </w:tc>
      </w:tr>
    </w:tbl>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05A"/>
        <w:sz w:val="16"/>
      </w:rPr>
      <w:t>LPM / Lapemo · reusable operating-model artifact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E605A"/>
        <w:sz w:val="16"/>
      </w:rPr>
      <w:t>LPM Knowledge Object · Control Map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B1C19"/>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D3924"/>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D392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D39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Map</dc:title>
  <dc:subject>Reusable LPM Knowledge Object</dc:subject>
  <dc:creator>LPM / Lapemo</dc:creator>
  <cp:keywords/>
  <dc:description/>
  <cp:lastModifiedBy>LPM / Lapemo</cp:lastModifiedBy>
  <cp:revision>1</cp:revision>
  <dcterms:created xsi:type="dcterms:W3CDTF">2013-12-23T23:15:00Z</dcterms:created>
  <dcterms:modified xsi:type="dcterms:W3CDTF">2013-12-23T23:15:00Z</dcterms:modified>
  <cp:category/>
</cp:coreProperties>
</file>