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2D3924"/>
            <w:tcBorders>
              <w:top w:val="single" w:sz="4" w:space="0" w:color="2D3924"/>
              <w:left w:val="single" w:sz="4" w:space="0" w:color="2D3924"/>
              <w:bottom w:val="single" w:sz="4" w:space="0" w:color="2D3924"/>
              <w:right w:val="single" w:sz="4" w:space="0" w:color="2D3924"/>
            </w:tcBorders>
            <w:tcMar>
              <w:top w:w="320" w:type="dxa"/>
              <w:start w:w="250" w:type="dxa"/>
              <w:bottom w:w="320" w:type="dxa"/>
              <w:end w:w="250" w:type="dxa"/>
            </w:tcMar>
          </w:tcPr>
          <w:p>
            <w:pPr>
              <w:jc w:val="center"/>
            </w:pPr>
            <w:r>
              <w:rPr>
                <w:rFonts w:ascii="Aptos" w:hAnsi="Aptos" w:eastAsia="Aptos"/>
                <w:b/>
                <w:color w:val="FFFFFF"/>
                <w:sz w:val="46"/>
              </w:rPr>
              <w:t>DATA LINEAGE MAP</w:t>
            </w:r>
          </w:p>
          <w:p>
            <w:pPr>
              <w:jc w:val="center"/>
            </w:pPr>
            <w:r>
              <w:rPr>
                <w:rFonts w:ascii="Aptos" w:hAnsi="Aptos" w:eastAsia="Aptos"/>
                <w:color w:val="D9E8C7"/>
                <w:sz w:val="21"/>
              </w:rPr>
              <w:t>Reusable LPM Knowledge Object · Information Ecology / Platform Structure</w:t>
            </w:r>
          </w:p>
          <w:p>
            <w:pPr>
              <w:jc w:val="center"/>
            </w:pPr>
            <w:r>
              <w:rPr>
                <w:rFonts w:ascii="Aptos" w:hAnsi="Aptos" w:eastAsia="Aptos"/>
                <w:color w:val="FFFFFF"/>
                <w:sz w:val="17"/>
              </w:rPr>
              <w:t>Trace source → transform → consume → decide → act → evidence</w:t>
            </w:r>
          </w:p>
        </w:tc>
      </w:tr>
    </w:tbl>
    <w:p>
      <w:pPr>
        <w:spacing w:after="60"/>
      </w:pPr>
    </w:p>
    <w:p>
      <w:pPr>
        <w:spacing w:after="40" w:before="0"/>
      </w:pPr>
      <w:r>
        <w:rPr>
          <w:rFonts w:ascii="Aptos" w:hAnsi="Aptos" w:eastAsia="Aptos"/>
          <w:b/>
          <w:i w:val="0"/>
          <w:color w:val="1B1C19"/>
          <w:sz w:val="24"/>
        </w:rPr>
        <w:t>Purpose</w:t>
      </w:r>
    </w:p>
    <w:p>
      <w:pPr>
        <w:spacing w:after="100" w:before="0"/>
      </w:pPr>
      <w:r>
        <w:rPr>
          <w:rFonts w:ascii="Aptos" w:hAnsi="Aptos" w:eastAsia="Aptos"/>
          <w:b w:val="0"/>
          <w:i w:val="0"/>
          <w:color w:val="1B1C19"/>
          <w:sz w:val="18"/>
        </w:rPr>
        <w:t>Use this template to map how critical data moves through the enterprise before it becomes a dashboard, metric, decision, control, workflow, AI model, or agentic action. The goal is to make data movement visible, owned, evidence-backed, and safe for AI scaling.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85"/>
        <w:gridCol w:w="5285"/>
      </w:tblGrid>
      <w:tr>
        <w:trPr>
          <w:tblHeader w:val="true"/>
        </w:trPr>
        <w:tc>
          <w:tcPr>
            <w:tcW w:type="dxa" w:w="2448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4"/>
              </w:rPr>
              <w:t>Metadata</w:t>
            </w:r>
          </w:p>
        </w:tc>
        <w:tc>
          <w:tcPr>
            <w:tcW w:type="dxa" w:w="8064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4"/>
              </w:rPr>
              <w:t>Value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Object type</w:t>
            </w:r>
          </w:p>
        </w:tc>
        <w:tc>
          <w:tcPr>
            <w:tcW w:type="dxa" w:w="806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LPM Knowledge Object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Primary LPM layers</w:t>
            </w:r>
          </w:p>
        </w:tc>
        <w:tc>
          <w:tcPr>
            <w:tcW w:type="dxa" w:w="806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Information Ecology, Platform Structure, Governance Architecture, AI Amplification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Connected layers</w:t>
            </w:r>
          </w:p>
        </w:tc>
        <w:tc>
          <w:tcPr>
            <w:tcW w:type="dxa" w:w="806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Ownership Map, Decision Architecture, Communication Architecture, Evidence Checklist, Source-of-Truth Map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Primary use</w:t>
            </w:r>
          </w:p>
        </w:tc>
        <w:tc>
          <w:tcPr>
            <w:tcW w:type="dxa" w:w="806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Trace how critical data moves from source system to transformation, metric, decision, workflow, AI model, agent, and control evidence.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Website use</w:t>
            </w:r>
          </w:p>
        </w:tc>
        <w:tc>
          <w:tcPr>
            <w:tcW w:type="dxa" w:w="806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Downloadable template, workshop guide, AI readiness resource, JSON object for Lapemo ingestion, and future guided skill.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Version</w:t>
            </w:r>
          </w:p>
        </w:tc>
        <w:tc>
          <w:tcPr>
            <w:tcW w:type="dxa" w:w="806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1.0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Owner</w:t>
            </w:r>
          </w:p>
        </w:tc>
        <w:tc>
          <w:tcPr>
            <w:tcW w:type="dxa" w:w="806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LPM / Lapemo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Last reviewed</w:t>
            </w:r>
          </w:p>
        </w:tc>
        <w:tc>
          <w:tcPr>
            <w:tcW w:type="dxa" w:w="806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2026-06-24</w:t>
            </w:r>
          </w:p>
        </w:tc>
      </w:tr>
    </w:tbl>
    <w:p>
      <w:pPr>
        <w:spacing w:after="20"/>
      </w:pP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1. Core principles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85"/>
        <w:gridCol w:w="5285"/>
      </w:tblGrid>
      <w:tr>
        <w:trPr>
          <w:tblHeader w:val="true"/>
        </w:trPr>
        <w:tc>
          <w:tcPr>
            <w:tcW w:type="dxa" w:w="3240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4"/>
              </w:rPr>
              <w:t>Principle</w:t>
            </w:r>
          </w:p>
        </w:tc>
        <w:tc>
          <w:tcPr>
            <w:tcW w:type="dxa" w:w="7200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4"/>
              </w:rPr>
              <w:t>Meaning</w:t>
            </w:r>
          </w:p>
        </w:tc>
      </w:tr>
      <w:tr>
        <w:tc>
          <w:tcPr>
            <w:tcW w:type="dxa" w:w="32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Lineage is proof, not decoration</w:t>
            </w:r>
          </w:p>
        </w:tc>
        <w:tc>
          <w:tcPr>
            <w:tcW w:type="dxa" w:w="720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A dashboard, AI output, or decision-grade claim is only reliable when the upstream source, transformation path, owner, and freshness are visible.</w:t>
            </w:r>
          </w:p>
        </w:tc>
      </w:tr>
      <w:tr>
        <w:tc>
          <w:tcPr>
            <w:tcW w:type="dxa" w:w="32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Every data movement needs a reason</w:t>
            </w:r>
          </w:p>
        </w:tc>
        <w:tc>
          <w:tcPr>
            <w:tcW w:type="dxa" w:w="720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Data should not move through integrations, spreadsheets, reports, warehouses, or AI tools without a defined purpose and accountable owner.</w:t>
            </w:r>
          </w:p>
        </w:tc>
      </w:tr>
      <w:tr>
        <w:tc>
          <w:tcPr>
            <w:tcW w:type="dxa" w:w="32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Source, transform, consume, act</w:t>
            </w:r>
          </w:p>
        </w:tc>
        <w:tc>
          <w:tcPr>
            <w:tcW w:type="dxa" w:w="720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The map must show where data originates, how it changes, who consumes it, and what decisions or actions it drives.</w:t>
            </w:r>
          </w:p>
        </w:tc>
      </w:tr>
      <w:tr>
        <w:tc>
          <w:tcPr>
            <w:tcW w:type="dxa" w:w="32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AI requires lineage discipline</w:t>
            </w:r>
          </w:p>
        </w:tc>
        <w:tc>
          <w:tcPr>
            <w:tcW w:type="dxa" w:w="720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AI should not retrieve, summarize, recommend, classify, or act on data unless the source, quality, sensitivity, and human review boundary are known.</w:t>
            </w:r>
          </w:p>
        </w:tc>
      </w:tr>
      <w:tr>
        <w:tc>
          <w:tcPr>
            <w:tcW w:type="dxa" w:w="32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Data ownership and system ownership are not the same</w:t>
            </w:r>
          </w:p>
        </w:tc>
        <w:tc>
          <w:tcPr>
            <w:tcW w:type="dxa" w:w="720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The business owner defines meaning and acceptable use. The technical owner maintains reliability, access, integration, and observability.</w:t>
            </w:r>
          </w:p>
        </w:tc>
      </w:tr>
      <w:tr>
        <w:tc>
          <w:tcPr>
            <w:tcW w:type="dxa" w:w="32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Stale lineage creates false confidence</w:t>
            </w:r>
          </w:p>
        </w:tc>
        <w:tc>
          <w:tcPr>
            <w:tcW w:type="dxa" w:w="720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Lineage must include refresh cadence, last validation date, transformation logic, confidence rating, and review triggers.</w:t>
            </w:r>
          </w:p>
        </w:tc>
      </w:tr>
      <w:tr>
        <w:tc>
          <w:tcPr>
            <w:tcW w:type="dxa" w:w="32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Exceptions must be visible</w:t>
            </w:r>
          </w:p>
        </w:tc>
        <w:tc>
          <w:tcPr>
            <w:tcW w:type="dxa" w:w="720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Manual exports, shadow spreadsheets, duplicate dashboards, broken integrations, and undocumented transformations should be treated as operating-model risk.</w:t>
            </w:r>
          </w:p>
        </w:tc>
      </w:tr>
    </w:tbl>
    <w:p>
      <w:pPr>
        <w:spacing w:after="20"/>
      </w:pP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2. Required fields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2448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2"/>
              </w:rPr>
              <w:t>Field</w:t>
            </w:r>
          </w:p>
        </w:tc>
        <w:tc>
          <w:tcPr>
            <w:tcW w:type="dxa" w:w="6840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2"/>
              </w:rPr>
              <w:t>Definition</w:t>
            </w:r>
          </w:p>
        </w:tc>
        <w:tc>
          <w:tcPr>
            <w:tcW w:type="dxa" w:w="1181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2"/>
              </w:rPr>
              <w:t>Required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Lineage object ID</w:t>
            </w:r>
          </w:p>
        </w:tc>
        <w:tc>
          <w:tcPr>
            <w:tcW w:type="dxa" w:w="68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Unique identifier for the data lineage object, domain, data product, metric, workflow, or AI use case</w:t>
            </w:r>
          </w:p>
        </w:tc>
        <w:tc>
          <w:tcPr>
            <w:tcW w:type="dxa" w:w="1181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Business domain</w:t>
            </w:r>
          </w:p>
        </w:tc>
        <w:tc>
          <w:tcPr>
            <w:tcW w:type="dxa" w:w="68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Customer, employee, product, finance, risk, sales, delivery, operations, platform, or AI</w:t>
            </w:r>
          </w:p>
        </w:tc>
        <w:tc>
          <w:tcPr>
            <w:tcW w:type="dxa" w:w="1181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Business question / use case</w:t>
            </w:r>
          </w:p>
        </w:tc>
        <w:tc>
          <w:tcPr>
            <w:tcW w:type="dxa" w:w="68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The decision, metric, process, report, AI use case, or control this data supports</w:t>
            </w:r>
          </w:p>
        </w:tc>
        <w:tc>
          <w:tcPr>
            <w:tcW w:type="dxa" w:w="1181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Source system</w:t>
            </w:r>
          </w:p>
        </w:tc>
        <w:tc>
          <w:tcPr>
            <w:tcW w:type="dxa" w:w="68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Original system where the data is created or mastered</w:t>
            </w:r>
          </w:p>
        </w:tc>
        <w:tc>
          <w:tcPr>
            <w:tcW w:type="dxa" w:w="1181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Source object / table / document</w:t>
            </w:r>
          </w:p>
        </w:tc>
        <w:tc>
          <w:tcPr>
            <w:tcW w:type="dxa" w:w="68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Specific table, API object, file, event, document, record, or data product</w:t>
            </w:r>
          </w:p>
        </w:tc>
        <w:tc>
          <w:tcPr>
            <w:tcW w:type="dxa" w:w="1181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Source owner</w:t>
            </w:r>
          </w:p>
        </w:tc>
        <w:tc>
          <w:tcPr>
            <w:tcW w:type="dxa" w:w="68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Business owner accountable for meaning, accuracy, and approved use</w:t>
            </w:r>
          </w:p>
        </w:tc>
        <w:tc>
          <w:tcPr>
            <w:tcW w:type="dxa" w:w="1181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Technical owner</w:t>
            </w:r>
          </w:p>
        </w:tc>
        <w:tc>
          <w:tcPr>
            <w:tcW w:type="dxa" w:w="68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System, data platform, integration, or engineering owner accountable for reliability</w:t>
            </w:r>
          </w:p>
        </w:tc>
        <w:tc>
          <w:tcPr>
            <w:tcW w:type="dxa" w:w="1181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Data steward</w:t>
            </w:r>
          </w:p>
        </w:tc>
        <w:tc>
          <w:tcPr>
            <w:tcW w:type="dxa" w:w="68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Role accountable for definition, metadata, quality checks, retention, and lifecycle hygiene</w:t>
            </w:r>
          </w:p>
        </w:tc>
        <w:tc>
          <w:tcPr>
            <w:tcW w:type="dxa" w:w="1181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Required when material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Transformation steps</w:t>
            </w:r>
          </w:p>
        </w:tc>
        <w:tc>
          <w:tcPr>
            <w:tcW w:type="dxa" w:w="68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Joins, calculations, enrichment, cleansing, aggregation, model features, or manual changes applied to the source</w:t>
            </w:r>
          </w:p>
        </w:tc>
        <w:tc>
          <w:tcPr>
            <w:tcW w:type="dxa" w:w="1181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Transformation owner</w:t>
            </w:r>
          </w:p>
        </w:tc>
        <w:tc>
          <w:tcPr>
            <w:tcW w:type="dxa" w:w="68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Role accountable for transformation logic and approval</w:t>
            </w:r>
          </w:p>
        </w:tc>
        <w:tc>
          <w:tcPr>
            <w:tcW w:type="dxa" w:w="1181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Integration path</w:t>
            </w:r>
          </w:p>
        </w:tc>
        <w:tc>
          <w:tcPr>
            <w:tcW w:type="dxa" w:w="68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API, ETL/ELT, event stream, file transfer, webhook, manual upload, RPA, or agentic workflow</w:t>
            </w:r>
          </w:p>
        </w:tc>
        <w:tc>
          <w:tcPr>
            <w:tcW w:type="dxa" w:w="1181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Storage / processing layer</w:t>
            </w:r>
          </w:p>
        </w:tc>
        <w:tc>
          <w:tcPr>
            <w:tcW w:type="dxa" w:w="68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Warehouse, lakehouse, operational store, BI model, vector index, feature store, cache, or knowledge base</w:t>
            </w:r>
          </w:p>
        </w:tc>
        <w:tc>
          <w:tcPr>
            <w:tcW w:type="dxa" w:w="1181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Downstream consumers</w:t>
            </w:r>
          </w:p>
        </w:tc>
        <w:tc>
          <w:tcPr>
            <w:tcW w:type="dxa" w:w="68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Dashboards, metrics, apps, teams, controls, workflows, models, agents, vendors, or customers that consume the data</w:t>
            </w:r>
          </w:p>
        </w:tc>
        <w:tc>
          <w:tcPr>
            <w:tcW w:type="dxa" w:w="1181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Decision or action supported</w:t>
            </w:r>
          </w:p>
        </w:tc>
        <w:tc>
          <w:tcPr>
            <w:tcW w:type="dxa" w:w="68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What the data helps decide, automate, approve, escalate, report, or govern</w:t>
            </w:r>
          </w:p>
        </w:tc>
        <w:tc>
          <w:tcPr>
            <w:tcW w:type="dxa" w:w="1181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Data quality checks</w:t>
            </w:r>
          </w:p>
        </w:tc>
        <w:tc>
          <w:tcPr>
            <w:tcW w:type="dxa" w:w="68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Completeness, accuracy, timeliness, validity, reconciliation, duplicate checks, or exception thresholds</w:t>
            </w:r>
          </w:p>
        </w:tc>
        <w:tc>
          <w:tcPr>
            <w:tcW w:type="dxa" w:w="1181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Freshness window</w:t>
            </w:r>
          </w:p>
        </w:tc>
        <w:tc>
          <w:tcPr>
            <w:tcW w:type="dxa" w:w="68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How current the data must be to remain decision-grade or AI-safe</w:t>
            </w:r>
          </w:p>
        </w:tc>
        <w:tc>
          <w:tcPr>
            <w:tcW w:type="dxa" w:w="1181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Sensitivity / classification</w:t>
            </w:r>
          </w:p>
        </w:tc>
        <w:tc>
          <w:tcPr>
            <w:tcW w:type="dxa" w:w="68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Internal, confidential, restricted, regulated, customer-sensitive, employee-sensitive, legal-sensitive, or public</w:t>
            </w:r>
          </w:p>
        </w:tc>
        <w:tc>
          <w:tcPr>
            <w:tcW w:type="dxa" w:w="1181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Access rule</w:t>
            </w:r>
          </w:p>
        </w:tc>
        <w:tc>
          <w:tcPr>
            <w:tcW w:type="dxa" w:w="68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Who can view, edit, export, query, embed, retrieve, summarize, or automate against the data</w:t>
            </w:r>
          </w:p>
        </w:tc>
        <w:tc>
          <w:tcPr>
            <w:tcW w:type="dxa" w:w="1181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AI usage boundary</w:t>
            </w:r>
          </w:p>
        </w:tc>
        <w:tc>
          <w:tcPr>
            <w:tcW w:type="dxa" w:w="68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Whether AI can retrieve, summarize, classify, recommend, transform, update, or act on the data</w:t>
            </w:r>
          </w:p>
        </w:tc>
        <w:tc>
          <w:tcPr>
            <w:tcW w:type="dxa" w:w="1181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Human review rule</w:t>
            </w:r>
          </w:p>
        </w:tc>
        <w:tc>
          <w:tcPr>
            <w:tcW w:type="dxa" w:w="68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When a human must validate the data, output, or action before it is used</w:t>
            </w:r>
          </w:p>
        </w:tc>
        <w:tc>
          <w:tcPr>
            <w:tcW w:type="dxa" w:w="1181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Required when material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Evidence link</w:t>
            </w:r>
          </w:p>
        </w:tc>
        <w:tc>
          <w:tcPr>
            <w:tcW w:type="dxa" w:w="68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Proof source for the lineage path, such as catalog link, data contract, pipeline run, dashboard definition, or control record</w:t>
            </w:r>
          </w:p>
        </w:tc>
        <w:tc>
          <w:tcPr>
            <w:tcW w:type="dxa" w:w="1181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Known gaps / exceptions</w:t>
            </w:r>
          </w:p>
        </w:tc>
        <w:tc>
          <w:tcPr>
            <w:tcW w:type="dxa" w:w="68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Manual steps, undocumented transforms, duplicate sources, stale fields, broken ownership, or ungoverned AI consumption</w:t>
            </w:r>
          </w:p>
        </w:tc>
        <w:tc>
          <w:tcPr>
            <w:tcW w:type="dxa" w:w="1181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Confidence rating</w:t>
            </w:r>
          </w:p>
        </w:tc>
        <w:tc>
          <w:tcPr>
            <w:tcW w:type="dxa" w:w="68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High, medium, low, provisional, stale, disputed, or retired</w:t>
            </w:r>
          </w:p>
        </w:tc>
        <w:tc>
          <w:tcPr>
            <w:tcW w:type="dxa" w:w="1181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Review date</w:t>
            </w:r>
          </w:p>
        </w:tc>
        <w:tc>
          <w:tcPr>
            <w:tcW w:type="dxa" w:w="68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Date the lineage path must be reviewed again</w:t>
            </w:r>
          </w:p>
        </w:tc>
        <w:tc>
          <w:tcPr>
            <w:tcW w:type="dxa" w:w="1181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Version</w:t>
            </w:r>
          </w:p>
        </w:tc>
        <w:tc>
          <w:tcPr>
            <w:tcW w:type="dxa" w:w="68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Object version, owner, last reviewed date, and change history</w:t>
            </w:r>
          </w:p>
        </w:tc>
        <w:tc>
          <w:tcPr>
            <w:tcW w:type="dxa" w:w="1181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</w:tbl>
    <w:p>
      <w:pPr>
        <w:spacing w:after="20"/>
      </w:pP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3. Data lineage stages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14"/>
        <w:gridCol w:w="2114"/>
        <w:gridCol w:w="2114"/>
        <w:gridCol w:w="2114"/>
        <w:gridCol w:w="2114"/>
      </w:tblGrid>
      <w:tr>
        <w:trPr>
          <w:tblHeader w:val="true"/>
        </w:trPr>
        <w:tc>
          <w:tcPr>
            <w:tcW w:type="dxa" w:w="1555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1"/>
              </w:rPr>
              <w:t>Stage</w:t>
            </w:r>
          </w:p>
        </w:tc>
        <w:tc>
          <w:tcPr>
            <w:tcW w:type="dxa" w:w="2477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1"/>
              </w:rPr>
              <w:t>What it proves</w:t>
            </w:r>
          </w:p>
        </w:tc>
        <w:tc>
          <w:tcPr>
            <w:tcW w:type="dxa" w:w="2448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1"/>
              </w:rPr>
              <w:t>Examples</w:t>
            </w:r>
          </w:p>
        </w:tc>
        <w:tc>
          <w:tcPr>
            <w:tcW w:type="dxa" w:w="1944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1"/>
              </w:rPr>
              <w:t>Owners</w:t>
            </w:r>
          </w:p>
        </w:tc>
        <w:tc>
          <w:tcPr>
            <w:tcW w:type="dxa" w:w="2088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1"/>
              </w:rPr>
              <w:t>Common risk</w:t>
            </w:r>
          </w:p>
        </w:tc>
      </w:tr>
      <w:tr>
        <w:tc>
          <w:tcPr>
            <w:tcW w:type="dxa" w:w="1555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1. Create / master</w:t>
            </w:r>
          </w:p>
        </w:tc>
        <w:tc>
          <w:tcPr>
            <w:tcW w:type="dxa" w:w="2477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Where the data is first created or legally mastered</w:t>
            </w:r>
          </w:p>
        </w:tc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CRM account, HRIS employee record, policy repository, Jira initiative</w:t>
            </w:r>
          </w:p>
        </w:tc>
        <w:tc>
          <w:tcPr>
            <w:tcW w:type="dxa" w:w="194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Business owner, system owner, data steward</w:t>
            </w:r>
          </w:p>
        </w:tc>
        <w:tc>
          <w:tcPr>
            <w:tcW w:type="dxa" w:w="208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Unclear master, duplicate records, missing owner</w:t>
            </w:r>
          </w:p>
        </w:tc>
      </w:tr>
      <w:tr>
        <w:tc>
          <w:tcPr>
            <w:tcW w:type="dxa" w:w="1555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2. Capture / ingest</w:t>
            </w:r>
          </w:p>
        </w:tc>
        <w:tc>
          <w:tcPr>
            <w:tcW w:type="dxa" w:w="2477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How the data enters the platform or workflow</w:t>
            </w:r>
          </w:p>
        </w:tc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API, stream, ETL job, form, file upload, vendor feed</w:t>
            </w:r>
          </w:p>
        </w:tc>
        <w:tc>
          <w:tcPr>
            <w:tcW w:type="dxa" w:w="194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Integration owner, platform owner</w:t>
            </w:r>
          </w:p>
        </w:tc>
        <w:tc>
          <w:tcPr>
            <w:tcW w:type="dxa" w:w="208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Manual exports, hidden spreadsheets, undocumented feeds</w:t>
            </w:r>
          </w:p>
        </w:tc>
      </w:tr>
      <w:tr>
        <w:tc>
          <w:tcPr>
            <w:tcW w:type="dxa" w:w="1555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3. Transform / enrich</w:t>
            </w:r>
          </w:p>
        </w:tc>
        <w:tc>
          <w:tcPr>
            <w:tcW w:type="dxa" w:w="2477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How the data is changed, calculated, joined, modeled, or cleaned</w:t>
            </w:r>
          </w:p>
        </w:tc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Metric formula, semantic model, feature engineering, data cleansing</w:t>
            </w:r>
          </w:p>
        </w:tc>
        <w:tc>
          <w:tcPr>
            <w:tcW w:type="dxa" w:w="194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Data product owner, analytics owner, engineering owner</w:t>
            </w:r>
          </w:p>
        </w:tc>
        <w:tc>
          <w:tcPr>
            <w:tcW w:type="dxa" w:w="208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Unapproved formulas, untested logic, stale joins</w:t>
            </w:r>
          </w:p>
        </w:tc>
      </w:tr>
      <w:tr>
        <w:tc>
          <w:tcPr>
            <w:tcW w:type="dxa" w:w="1555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4. Store / index</w:t>
            </w:r>
          </w:p>
        </w:tc>
        <w:tc>
          <w:tcPr>
            <w:tcW w:type="dxa" w:w="2477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Where transformed data is persisted or made searchable</w:t>
            </w:r>
          </w:p>
        </w:tc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Warehouse, lakehouse, BI model, vector index, feature store</w:t>
            </w:r>
          </w:p>
        </w:tc>
        <w:tc>
          <w:tcPr>
            <w:tcW w:type="dxa" w:w="194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Platform owner, data owner, security owner</w:t>
            </w:r>
          </w:p>
        </w:tc>
        <w:tc>
          <w:tcPr>
            <w:tcW w:type="dxa" w:w="208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Uncontrolled copies, retention gaps, shadow indexes</w:t>
            </w:r>
          </w:p>
        </w:tc>
      </w:tr>
      <w:tr>
        <w:tc>
          <w:tcPr>
            <w:tcW w:type="dxa" w:w="1555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5. Consume / interpret</w:t>
            </w:r>
          </w:p>
        </w:tc>
        <w:tc>
          <w:tcPr>
            <w:tcW w:type="dxa" w:w="2477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Who uses the data and through what experience</w:t>
            </w:r>
          </w:p>
        </w:tc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Dashboard, report, app screen, AI assistant, governance review</w:t>
            </w:r>
          </w:p>
        </w:tc>
        <w:tc>
          <w:tcPr>
            <w:tcW w:type="dxa" w:w="194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Consumer owner, product owner, analyst owner</w:t>
            </w:r>
          </w:p>
        </w:tc>
        <w:tc>
          <w:tcPr>
            <w:tcW w:type="dxa" w:w="208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Conflicting dashboards, no context, weak definitions</w:t>
            </w:r>
          </w:p>
        </w:tc>
      </w:tr>
      <w:tr>
        <w:tc>
          <w:tcPr>
            <w:tcW w:type="dxa" w:w="1555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6. Decide / act</w:t>
            </w:r>
          </w:p>
        </w:tc>
        <w:tc>
          <w:tcPr>
            <w:tcW w:type="dxa" w:w="2477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What decision, workflow, automation, or escalation depends on the data</w:t>
            </w:r>
          </w:p>
        </w:tc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Prioritization, risk review, customer action, agent handoff, control approval</w:t>
            </w:r>
          </w:p>
        </w:tc>
        <w:tc>
          <w:tcPr>
            <w:tcW w:type="dxa" w:w="194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Decision owner, process owner, control owner</w:t>
            </w:r>
          </w:p>
        </w:tc>
        <w:tc>
          <w:tcPr>
            <w:tcW w:type="dxa" w:w="208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AI acts without review, stale data drives decision</w:t>
            </w:r>
          </w:p>
        </w:tc>
      </w:tr>
      <w:tr>
        <w:tc>
          <w:tcPr>
            <w:tcW w:type="dxa" w:w="1555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7. Evidence / audit</w:t>
            </w:r>
          </w:p>
        </w:tc>
        <w:tc>
          <w:tcPr>
            <w:tcW w:type="dxa" w:w="2477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How the organization proves the data path and decision were valid</w:t>
            </w:r>
          </w:p>
        </w:tc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Data catalog, lineage graph, pipeline log, decision log, evidence checklist</w:t>
            </w:r>
          </w:p>
        </w:tc>
        <w:tc>
          <w:tcPr>
            <w:tcW w:type="dxa" w:w="194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Governance owner, audit owner, source owner</w:t>
            </w:r>
          </w:p>
        </w:tc>
        <w:tc>
          <w:tcPr>
            <w:tcW w:type="dxa" w:w="208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No proof, no replay, no confidence trail</w:t>
            </w:r>
          </w:p>
        </w:tc>
      </w:tr>
    </w:tbl>
    <w:p>
      <w:pPr>
        <w:spacing w:after="20"/>
      </w:pP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4. Lineage object types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14"/>
        <w:gridCol w:w="2114"/>
        <w:gridCol w:w="2114"/>
        <w:gridCol w:w="2114"/>
        <w:gridCol w:w="2114"/>
      </w:tblGrid>
      <w:tr>
        <w:trPr>
          <w:tblHeader w:val="true"/>
        </w:trPr>
        <w:tc>
          <w:tcPr>
            <w:tcW w:type="dxa" w:w="1800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2"/>
              </w:rPr>
              <w:t>Type</w:t>
            </w:r>
          </w:p>
        </w:tc>
        <w:tc>
          <w:tcPr>
            <w:tcW w:type="dxa" w:w="2520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2"/>
              </w:rPr>
              <w:t>Lineage path</w:t>
            </w:r>
          </w:p>
        </w:tc>
        <w:tc>
          <w:tcPr>
            <w:tcW w:type="dxa" w:w="2232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2"/>
              </w:rPr>
              <w:t>Examples</w:t>
            </w:r>
          </w:p>
        </w:tc>
        <w:tc>
          <w:tcPr>
            <w:tcW w:type="dxa" w:w="1944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2"/>
              </w:rPr>
              <w:t>Primary owners</w:t>
            </w:r>
          </w:p>
        </w:tc>
        <w:tc>
          <w:tcPr>
            <w:tcW w:type="dxa" w:w="1944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2"/>
              </w:rPr>
              <w:t>Failure mode</w:t>
            </w:r>
          </w:p>
        </w:tc>
      </w:tr>
      <w:tr>
        <w:tc>
          <w:tcPr>
            <w:tcW w:type="dxa" w:w="180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Metric lineage</w:t>
            </w:r>
          </w:p>
        </w:tc>
        <w:tc>
          <w:tcPr>
            <w:tcW w:type="dxa" w:w="25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Source to formula to dashboard to executive decision</w:t>
            </w:r>
          </w:p>
        </w:tc>
        <w:tc>
          <w:tcPr>
            <w:tcW w:type="dxa" w:w="22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Revenue, cycle time, AI ROI, risk score, adoption rate</w:t>
            </w:r>
          </w:p>
        </w:tc>
        <w:tc>
          <w:tcPr>
            <w:tcW w:type="dxa" w:w="194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Metric owner, data steward, analytics owner</w:t>
            </w:r>
          </w:p>
        </w:tc>
        <w:tc>
          <w:tcPr>
            <w:tcW w:type="dxa" w:w="194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Competing definitions and dashboard drift</w:t>
            </w:r>
          </w:p>
        </w:tc>
      </w:tr>
      <w:tr>
        <w:tc>
          <w:tcPr>
            <w:tcW w:type="dxa" w:w="180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Customer lineage</w:t>
            </w:r>
          </w:p>
        </w:tc>
        <w:tc>
          <w:tcPr>
            <w:tcW w:type="dxa" w:w="25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Customer master to engagement to action</w:t>
            </w:r>
          </w:p>
        </w:tc>
        <w:tc>
          <w:tcPr>
            <w:tcW w:type="dxa" w:w="223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Account status, contract, support signal, renewal risk</w:t>
            </w:r>
          </w:p>
        </w:tc>
        <w:tc>
          <w:tcPr>
            <w:tcW w:type="dxa" w:w="194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Sales / success owner, CRM owner, data owner</w:t>
            </w:r>
          </w:p>
        </w:tc>
        <w:tc>
          <w:tcPr>
            <w:tcW w:type="dxa" w:w="194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AI outreach based on stale or wrong context</w:t>
            </w:r>
          </w:p>
        </w:tc>
      </w:tr>
      <w:tr>
        <w:tc>
          <w:tcPr>
            <w:tcW w:type="dxa" w:w="180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Employee lineage</w:t>
            </w:r>
          </w:p>
        </w:tc>
        <w:tc>
          <w:tcPr>
            <w:tcW w:type="dxa" w:w="25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HRIS to access, org design, capacity, and AI workforce planning</w:t>
            </w:r>
          </w:p>
        </w:tc>
        <w:tc>
          <w:tcPr>
            <w:tcW w:type="dxa" w:w="22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Role, manager, team, skills, access, cost center</w:t>
            </w:r>
          </w:p>
        </w:tc>
        <w:tc>
          <w:tcPr>
            <w:tcW w:type="dxa" w:w="194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People owner, HRIS owner, identity owner</w:t>
            </w:r>
          </w:p>
        </w:tc>
        <w:tc>
          <w:tcPr>
            <w:tcW w:type="dxa" w:w="194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Bad routing, access errors, shadow org structure</w:t>
            </w:r>
          </w:p>
        </w:tc>
      </w:tr>
      <w:tr>
        <w:tc>
          <w:tcPr>
            <w:tcW w:type="dxa" w:w="180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Work lineage</w:t>
            </w:r>
          </w:p>
        </w:tc>
        <w:tc>
          <w:tcPr>
            <w:tcW w:type="dxa" w:w="25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Work intake to prioritization to delivery and outcome</w:t>
            </w:r>
          </w:p>
        </w:tc>
        <w:tc>
          <w:tcPr>
            <w:tcW w:type="dxa" w:w="223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Initiatives, dependencies, blockers, delivery health, benefits</w:t>
            </w:r>
          </w:p>
        </w:tc>
        <w:tc>
          <w:tcPr>
            <w:tcW w:type="dxa" w:w="194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Product owner, PMO owner, work system owner</w:t>
            </w:r>
          </w:p>
        </w:tc>
        <w:tc>
          <w:tcPr>
            <w:tcW w:type="dxa" w:w="194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Hidden work and false delivery status</w:t>
            </w:r>
          </w:p>
        </w:tc>
      </w:tr>
      <w:tr>
        <w:tc>
          <w:tcPr>
            <w:tcW w:type="dxa" w:w="180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Governance lineage</w:t>
            </w:r>
          </w:p>
        </w:tc>
        <w:tc>
          <w:tcPr>
            <w:tcW w:type="dxa" w:w="25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Policy/control to exception to evidence and audit trail</w:t>
            </w:r>
          </w:p>
        </w:tc>
        <w:tc>
          <w:tcPr>
            <w:tcW w:type="dxa" w:w="22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Risk, control, policy, approval, incident, exception</w:t>
            </w:r>
          </w:p>
        </w:tc>
        <w:tc>
          <w:tcPr>
            <w:tcW w:type="dxa" w:w="194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GRC owner, risk owner, control owner</w:t>
            </w:r>
          </w:p>
        </w:tc>
        <w:tc>
          <w:tcPr>
            <w:tcW w:type="dxa" w:w="194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Unreviewed exception or missing evidence</w:t>
            </w:r>
          </w:p>
        </w:tc>
      </w:tr>
      <w:tr>
        <w:tc>
          <w:tcPr>
            <w:tcW w:type="dxa" w:w="180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AI model / agent lineage</w:t>
            </w:r>
          </w:p>
        </w:tc>
        <w:tc>
          <w:tcPr>
            <w:tcW w:type="dxa" w:w="25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Training or retrieval data to prompt/model to output to human review</w:t>
            </w:r>
          </w:p>
        </w:tc>
        <w:tc>
          <w:tcPr>
            <w:tcW w:type="dxa" w:w="223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Model features, RAG source, prompt, recommendation, automated action</w:t>
            </w:r>
          </w:p>
        </w:tc>
        <w:tc>
          <w:tcPr>
            <w:tcW w:type="dxa" w:w="194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AI owner, data owner, governance owner</w:t>
            </w:r>
          </w:p>
        </w:tc>
        <w:tc>
          <w:tcPr>
            <w:tcW w:type="dxa" w:w="194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AI output treated as fact without source trace</w:t>
            </w:r>
          </w:p>
        </w:tc>
      </w:tr>
      <w:tr>
        <w:tc>
          <w:tcPr>
            <w:tcW w:type="dxa" w:w="180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Knowledge lineage</w:t>
            </w:r>
          </w:p>
        </w:tc>
        <w:tc>
          <w:tcPr>
            <w:tcW w:type="dxa" w:w="25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Knowledge object to published artifact to AI retrieval and use</w:t>
            </w:r>
          </w:p>
        </w:tc>
        <w:tc>
          <w:tcPr>
            <w:tcW w:type="dxa" w:w="22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SOP, playbook, framework object, policy, prompt library</w:t>
            </w:r>
          </w:p>
        </w:tc>
        <w:tc>
          <w:tcPr>
            <w:tcW w:type="dxa" w:w="194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Content owner, knowledge steward, AI retrieval owner</w:t>
            </w:r>
          </w:p>
        </w:tc>
        <w:tc>
          <w:tcPr>
            <w:tcW w:type="dxa" w:w="194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Stale documents becoming enterprise memory</w:t>
            </w:r>
          </w:p>
        </w:tc>
      </w:tr>
    </w:tbl>
    <w:p>
      <w:pPr>
        <w:spacing w:after="20"/>
      </w:pP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5. Template: data lineage map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2448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2"/>
              </w:rPr>
              <w:t>Map element</w:t>
            </w:r>
          </w:p>
        </w:tc>
        <w:tc>
          <w:tcPr>
            <w:tcW w:type="dxa" w:w="4320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2"/>
              </w:rPr>
              <w:t>Entry</w:t>
            </w:r>
          </w:p>
        </w:tc>
        <w:tc>
          <w:tcPr>
            <w:tcW w:type="dxa" w:w="3672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2"/>
              </w:rPr>
              <w:t>Guidance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Lineage ID</w:t>
            </w:r>
          </w:p>
        </w:tc>
        <w:tc>
          <w:tcPr>
            <w:tcW w:type="dxa" w:w="43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[DL-001]</w:t>
            </w:r>
          </w:p>
        </w:tc>
        <w:tc>
          <w:tcPr>
            <w:tcW w:type="dxa" w:w="367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Unique object ID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Business domain</w:t>
            </w:r>
          </w:p>
        </w:tc>
        <w:tc>
          <w:tcPr>
            <w:tcW w:type="dxa" w:w="43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[Customer / Employee / Finance / Work / Risk / AI]</w:t>
            </w:r>
          </w:p>
        </w:tc>
        <w:tc>
          <w:tcPr>
            <w:tcW w:type="dxa" w:w="367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Used for routing and governance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Business use case</w:t>
            </w:r>
          </w:p>
        </w:tc>
        <w:tc>
          <w:tcPr>
            <w:tcW w:type="dxa" w:w="43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[Decision, metric, dashboard, process, AI use case, control]</w:t>
            </w:r>
          </w:p>
        </w:tc>
        <w:tc>
          <w:tcPr>
            <w:tcW w:type="dxa" w:w="367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Defines why the lineage matters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Source system</w:t>
            </w:r>
          </w:p>
        </w:tc>
        <w:tc>
          <w:tcPr>
            <w:tcW w:type="dxa" w:w="43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[System of record]</w:t>
            </w:r>
          </w:p>
        </w:tc>
        <w:tc>
          <w:tcPr>
            <w:tcW w:type="dxa" w:w="367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Original or authoritative source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Source object</w:t>
            </w:r>
          </w:p>
        </w:tc>
        <w:tc>
          <w:tcPr>
            <w:tcW w:type="dxa" w:w="43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[Table, API object, data product, document, event, file]</w:t>
            </w:r>
          </w:p>
        </w:tc>
        <w:tc>
          <w:tcPr>
            <w:tcW w:type="dxa" w:w="367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Specific object being consumed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Source owner</w:t>
            </w:r>
          </w:p>
        </w:tc>
        <w:tc>
          <w:tcPr>
            <w:tcW w:type="dxa" w:w="43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[Name / role]</w:t>
            </w:r>
          </w:p>
        </w:tc>
        <w:tc>
          <w:tcPr>
            <w:tcW w:type="dxa" w:w="367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Accountable for meaning and approved use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Technical owner</w:t>
            </w:r>
          </w:p>
        </w:tc>
        <w:tc>
          <w:tcPr>
            <w:tcW w:type="dxa" w:w="43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[Name / role]</w:t>
            </w:r>
          </w:p>
        </w:tc>
        <w:tc>
          <w:tcPr>
            <w:tcW w:type="dxa" w:w="367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Accountable for system and integration reliability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Transformation steps</w:t>
            </w:r>
          </w:p>
        </w:tc>
        <w:tc>
          <w:tcPr>
            <w:tcW w:type="dxa" w:w="43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[Logic, joins, formula, enrichment, model features]</w:t>
            </w:r>
          </w:p>
        </w:tc>
        <w:tc>
          <w:tcPr>
            <w:tcW w:type="dxa" w:w="367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How data changes before use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Integration path</w:t>
            </w:r>
          </w:p>
        </w:tc>
        <w:tc>
          <w:tcPr>
            <w:tcW w:type="dxa" w:w="43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[API / ETL / event / file / manual / agent]</w:t>
            </w:r>
          </w:p>
        </w:tc>
        <w:tc>
          <w:tcPr>
            <w:tcW w:type="dxa" w:w="367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How data moves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Storage / index</w:t>
            </w:r>
          </w:p>
        </w:tc>
        <w:tc>
          <w:tcPr>
            <w:tcW w:type="dxa" w:w="43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[Warehouse / lakehouse / BI model / vector index / feature store]</w:t>
            </w:r>
          </w:p>
        </w:tc>
        <w:tc>
          <w:tcPr>
            <w:tcW w:type="dxa" w:w="367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Where data persists or is retrieved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Downstream consumers</w:t>
            </w:r>
          </w:p>
        </w:tc>
        <w:tc>
          <w:tcPr>
            <w:tcW w:type="dxa" w:w="43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[Dashboards, teams, workflows, models, agents, vendors]</w:t>
            </w:r>
          </w:p>
        </w:tc>
        <w:tc>
          <w:tcPr>
            <w:tcW w:type="dxa" w:w="367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Who or what depends on this path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Decision/action supported</w:t>
            </w:r>
          </w:p>
        </w:tc>
        <w:tc>
          <w:tcPr>
            <w:tcW w:type="dxa" w:w="43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[Decision, automation, escalation, report, control]</w:t>
            </w:r>
          </w:p>
        </w:tc>
        <w:tc>
          <w:tcPr>
            <w:tcW w:type="dxa" w:w="367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What the data influences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Quality checks</w:t>
            </w:r>
          </w:p>
        </w:tc>
        <w:tc>
          <w:tcPr>
            <w:tcW w:type="dxa" w:w="43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[Freshness, accuracy, reconciliation, completeness, duplicates]</w:t>
            </w:r>
          </w:p>
        </w:tc>
        <w:tc>
          <w:tcPr>
            <w:tcW w:type="dxa" w:w="367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Evidence that path is reliable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AI usage boundary</w:t>
            </w:r>
          </w:p>
        </w:tc>
        <w:tc>
          <w:tcPr>
            <w:tcW w:type="dxa" w:w="43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[Retrieve / summarize / recommend / classify / act / blocked]</w:t>
            </w:r>
          </w:p>
        </w:tc>
        <w:tc>
          <w:tcPr>
            <w:tcW w:type="dxa" w:w="367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Defines safe AI behavior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Known gaps</w:t>
            </w:r>
          </w:p>
        </w:tc>
        <w:tc>
          <w:tcPr>
            <w:tcW w:type="dxa" w:w="43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[Missing owner, stale data, shadow copy, manual step]</w:t>
            </w:r>
          </w:p>
        </w:tc>
        <w:tc>
          <w:tcPr>
            <w:tcW w:type="dxa" w:w="367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Exception list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Review date</w:t>
            </w:r>
          </w:p>
        </w:tc>
        <w:tc>
          <w:tcPr>
            <w:tcW w:type="dxa" w:w="43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[Date]</w:t>
            </w:r>
          </w:p>
        </w:tc>
        <w:tc>
          <w:tcPr>
            <w:tcW w:type="dxa" w:w="367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Next validation date</w:t>
            </w:r>
          </w:p>
        </w:tc>
      </w:tr>
    </w:tbl>
    <w:p>
      <w:pPr>
        <w:spacing w:after="20"/>
      </w:pP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6. Version for 500+ employee company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85"/>
        <w:gridCol w:w="5285"/>
      </w:tblGrid>
      <w:tr>
        <w:trPr>
          <w:tblHeader w:val="true"/>
        </w:trPr>
        <w:tc>
          <w:tcPr>
            <w:tcW w:type="dxa" w:w="2592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4"/>
              </w:rPr>
              <w:t>Dimension</w:t>
            </w:r>
          </w:p>
        </w:tc>
        <w:tc>
          <w:tcPr>
            <w:tcW w:type="dxa" w:w="7848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4"/>
              </w:rPr>
              <w:t>Recommended pattern</w:t>
            </w:r>
          </w:p>
        </w:tc>
      </w:tr>
      <w:tr>
        <w:tc>
          <w:tcPr>
            <w:tcW w:type="dxa" w:w="25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Design intent</w:t>
            </w:r>
          </w:p>
        </w:tc>
        <w:tc>
          <w:tcPr>
            <w:tcW w:type="dxa" w:w="78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Create basic visibility before the company scales into duplicated tools, unowned dashboards, and AI pilots using weak data.</w:t>
            </w:r>
          </w:p>
        </w:tc>
      </w:tr>
      <w:tr>
        <w:tc>
          <w:tcPr>
            <w:tcW w:type="dxa" w:w="25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Minimum lineage scope</w:t>
            </w:r>
          </w:p>
        </w:tc>
        <w:tc>
          <w:tcPr>
            <w:tcW w:type="dxa" w:w="78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Map the top 10 to 25 critical data paths: customer, employee, finance, delivery, product, risk, and active AI initiatives.</w:t>
            </w:r>
          </w:p>
        </w:tc>
      </w:tr>
      <w:tr>
        <w:tc>
          <w:tcPr>
            <w:tcW w:type="dxa" w:w="25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Primary systems</w:t>
            </w:r>
          </w:p>
        </w:tc>
        <w:tc>
          <w:tcPr>
            <w:tcW w:type="dxa" w:w="78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CRM, HRIS, work system, finance system, knowledge base, BI tool, and AI pilot workspace.</w:t>
            </w:r>
          </w:p>
        </w:tc>
      </w:tr>
      <w:tr>
        <w:tc>
          <w:tcPr>
            <w:tcW w:type="dxa" w:w="25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Operating pattern</w:t>
            </w:r>
          </w:p>
        </w:tc>
        <w:tc>
          <w:tcPr>
            <w:tcW w:type="dxa" w:w="78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Quarterly lineage review with business owners, data steward, technology owner, and executive sponsor.</w:t>
            </w:r>
          </w:p>
        </w:tc>
      </w:tr>
      <w:tr>
        <w:tc>
          <w:tcPr>
            <w:tcW w:type="dxa" w:w="25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AI focus</w:t>
            </w:r>
          </w:p>
        </w:tc>
        <w:tc>
          <w:tcPr>
            <w:tcW w:type="dxa" w:w="78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AI can only summarize or recommend from named sources with human review for customer, employee, financial, risk, or external-facing use.</w:t>
            </w:r>
          </w:p>
        </w:tc>
      </w:tr>
      <w:tr>
        <w:tc>
          <w:tcPr>
            <w:tcW w:type="dxa" w:w="25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Red flags</w:t>
            </w:r>
          </w:p>
        </w:tc>
        <w:tc>
          <w:tcPr>
            <w:tcW w:type="dxa" w:w="78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Spreadsheet exports, dashboard-only truth, founder-memory definitions, unowned AI prompts, and unclear data freshness.</w:t>
            </w:r>
          </w:p>
        </w:tc>
      </w:tr>
    </w:tbl>
    <w:p>
      <w:pPr>
        <w:spacing w:after="20"/>
      </w:pP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Start with the highest-risk and highest-value data paths, not every table.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Name owners for the source system, dashboard/metric, and AI consumer before using the data in AI workflows.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Kill or flag lineage paths that rely only on spreadsheet exports, local knowledge, or chat-based status.</w:t>
      </w: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7. Version for 5,000+ employee company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85"/>
        <w:gridCol w:w="5285"/>
      </w:tblGrid>
      <w:tr>
        <w:trPr>
          <w:tblHeader w:val="true"/>
        </w:trPr>
        <w:tc>
          <w:tcPr>
            <w:tcW w:type="dxa" w:w="2592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4"/>
              </w:rPr>
              <w:t>Dimension</w:t>
            </w:r>
          </w:p>
        </w:tc>
        <w:tc>
          <w:tcPr>
            <w:tcW w:type="dxa" w:w="7848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4"/>
              </w:rPr>
              <w:t>Recommended pattern</w:t>
            </w:r>
          </w:p>
        </w:tc>
      </w:tr>
      <w:tr>
        <w:tc>
          <w:tcPr>
            <w:tcW w:type="dxa" w:w="25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Design intent</w:t>
            </w:r>
          </w:p>
        </w:tc>
        <w:tc>
          <w:tcPr>
            <w:tcW w:type="dxa" w:w="78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Move from local data knowledge to domain-owned lineage that supports cross-functional decisions and scaled AI use cases.</w:t>
            </w:r>
          </w:p>
        </w:tc>
      </w:tr>
      <w:tr>
        <w:tc>
          <w:tcPr>
            <w:tcW w:type="dxa" w:w="25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Minimum lineage scope</w:t>
            </w:r>
          </w:p>
        </w:tc>
        <w:tc>
          <w:tcPr>
            <w:tcW w:type="dxa" w:w="78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Map critical data products, enterprise metrics, system integrations, decision dashboards, governance controls, and AI model inputs.</w:t>
            </w:r>
          </w:p>
        </w:tc>
      </w:tr>
      <w:tr>
        <w:tc>
          <w:tcPr>
            <w:tcW w:type="dxa" w:w="25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Primary systems</w:t>
            </w:r>
          </w:p>
        </w:tc>
        <w:tc>
          <w:tcPr>
            <w:tcW w:type="dxa" w:w="78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CRM, HRIS, ERP, work management, service desk, data warehouse/lakehouse, BI semantic layer, GRC, IAM, AI platform.</w:t>
            </w:r>
          </w:p>
        </w:tc>
      </w:tr>
      <w:tr>
        <w:tc>
          <w:tcPr>
            <w:tcW w:type="dxa" w:w="25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Operating pattern</w:t>
            </w:r>
          </w:p>
        </w:tc>
        <w:tc>
          <w:tcPr>
            <w:tcW w:type="dxa" w:w="78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Domain lineage owners, data product reviews, data catalog entries, quality thresholds, and formal exception paths.</w:t>
            </w:r>
          </w:p>
        </w:tc>
      </w:tr>
      <w:tr>
        <w:tc>
          <w:tcPr>
            <w:tcW w:type="dxa" w:w="25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AI focus</w:t>
            </w:r>
          </w:p>
        </w:tc>
        <w:tc>
          <w:tcPr>
            <w:tcW w:type="dxa" w:w="78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RAG sources, model features, agent workflows, and AI outputs must reference governed sources, data contracts, and review rules.</w:t>
            </w:r>
          </w:p>
        </w:tc>
      </w:tr>
      <w:tr>
        <w:tc>
          <w:tcPr>
            <w:tcW w:type="dxa" w:w="25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Red flags</w:t>
            </w:r>
          </w:p>
        </w:tc>
        <w:tc>
          <w:tcPr>
            <w:tcW w:type="dxa" w:w="78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Multiple dashboards for the same metric, undocumented transformations, BI logic outside catalog, and model/agent consumption without lineage.</w:t>
            </w:r>
          </w:p>
        </w:tc>
      </w:tr>
    </w:tbl>
    <w:p>
      <w:pPr>
        <w:spacing w:after="20"/>
      </w:pP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Manage lineage by domain and data product, not by one-off report ownership.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Require data catalog entries and evidence links for executive metrics, AI use cases, and control reporting.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Create an exception workflow for duplicate dashboards, disputed sources, and AI consumption without approved lineage.</w:t>
      </w: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8. Version for 10,000+ employee company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85"/>
        <w:gridCol w:w="5285"/>
      </w:tblGrid>
      <w:tr>
        <w:trPr>
          <w:tblHeader w:val="true"/>
        </w:trPr>
        <w:tc>
          <w:tcPr>
            <w:tcW w:type="dxa" w:w="2592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4"/>
              </w:rPr>
              <w:t>Dimension</w:t>
            </w:r>
          </w:p>
        </w:tc>
        <w:tc>
          <w:tcPr>
            <w:tcW w:type="dxa" w:w="7848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4"/>
              </w:rPr>
              <w:t>Recommended pattern</w:t>
            </w:r>
          </w:p>
        </w:tc>
      </w:tr>
      <w:tr>
        <w:tc>
          <w:tcPr>
            <w:tcW w:type="dxa" w:w="25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Design intent</w:t>
            </w:r>
          </w:p>
        </w:tc>
        <w:tc>
          <w:tcPr>
            <w:tcW w:type="dxa" w:w="78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Create enterprise-grade lineage as a control layer for decisions, risk, AI, audit, regulation, and operating-model resilience.</w:t>
            </w:r>
          </w:p>
        </w:tc>
      </w:tr>
      <w:tr>
        <w:tc>
          <w:tcPr>
            <w:tcW w:type="dxa" w:w="25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Minimum lineage scope</w:t>
            </w:r>
          </w:p>
        </w:tc>
        <w:tc>
          <w:tcPr>
            <w:tcW w:type="dxa" w:w="78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Map all Tier 1 and Tier 2 data domains, regulatory/control data paths, AI-critical datasets, executive metrics, and external reporting feeds.</w:t>
            </w:r>
          </w:p>
        </w:tc>
      </w:tr>
      <w:tr>
        <w:tc>
          <w:tcPr>
            <w:tcW w:type="dxa" w:w="25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Primary systems</w:t>
            </w:r>
          </w:p>
        </w:tc>
        <w:tc>
          <w:tcPr>
            <w:tcW w:type="dxa" w:w="78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Enterprise data catalog, MDM, data lakehouse, semantic layer, API gateway, event platform, GRC, IAM, model registry, agent orchestration, observability.</w:t>
            </w:r>
          </w:p>
        </w:tc>
      </w:tr>
      <w:tr>
        <w:tc>
          <w:tcPr>
            <w:tcW w:type="dxa" w:w="25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Operating pattern</w:t>
            </w:r>
          </w:p>
        </w:tc>
        <w:tc>
          <w:tcPr>
            <w:tcW w:type="dxa" w:w="78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Automated lineage capture, lineage control board, domain data councils, evidence packs, policy-as-code checks, and supersession management.</w:t>
            </w:r>
          </w:p>
        </w:tc>
      </w:tr>
      <w:tr>
        <w:tc>
          <w:tcPr>
            <w:tcW w:type="dxa" w:w="25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AI focus</w:t>
            </w:r>
          </w:p>
        </w:tc>
        <w:tc>
          <w:tcPr>
            <w:tcW w:type="dxa" w:w="78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AI models and agents require retrieval lineage, feature lineage, prompt/output logging, human review policy, model risk tier, and audit replay.</w:t>
            </w:r>
          </w:p>
        </w:tc>
      </w:tr>
      <w:tr>
        <w:tc>
          <w:tcPr>
            <w:tcW w:type="dxa" w:w="25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Red flags</w:t>
            </w:r>
          </w:p>
        </w:tc>
        <w:tc>
          <w:tcPr>
            <w:tcW w:type="dxa" w:w="78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Federated business units creating conflicting truth, unmanaged data sharing, vendor feeds without ownership, and AI agents acting on low-confidence data.</w:t>
            </w:r>
          </w:p>
        </w:tc>
      </w:tr>
    </w:tbl>
    <w:p>
      <w:pPr>
        <w:spacing w:after="20"/>
      </w:pP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Treat lineage as an enterprise control layer across domains, platforms, AI systems, and regulatory obligations.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Automate lineage capture where possible, but require human ownership and governance review for material paths.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Connect lineage to model risk, audit replay, data contracts, access controls, and executive decision records.</w:t>
      </w: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9. Scoring logic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2520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3"/>
              </w:rPr>
              <w:t>Dimension</w:t>
            </w:r>
          </w:p>
        </w:tc>
        <w:tc>
          <w:tcPr>
            <w:tcW w:type="dxa" w:w="936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3"/>
              </w:rPr>
              <w:t>Score</w:t>
            </w:r>
          </w:p>
        </w:tc>
        <w:tc>
          <w:tcPr>
            <w:tcW w:type="dxa" w:w="6984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3"/>
              </w:rPr>
              <w:t>What good looks like</w:t>
            </w:r>
          </w:p>
        </w:tc>
      </w:tr>
      <w:tr>
        <w:tc>
          <w:tcPr>
            <w:tcW w:type="dxa" w:w="25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Ownership clarity</w:t>
            </w:r>
          </w:p>
        </w:tc>
        <w:tc>
          <w:tcPr>
            <w:tcW w:type="dxa" w:w="93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0-5</w:t>
            </w:r>
          </w:p>
        </w:tc>
        <w:tc>
          <w:tcPr>
            <w:tcW w:type="dxa" w:w="698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Every source, transformation, consumer, and decision path has a named owner.</w:t>
            </w:r>
          </w:p>
        </w:tc>
      </w:tr>
      <w:tr>
        <w:tc>
          <w:tcPr>
            <w:tcW w:type="dxa" w:w="25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Source clarity</w:t>
            </w:r>
          </w:p>
        </w:tc>
        <w:tc>
          <w:tcPr>
            <w:tcW w:type="dxa" w:w="93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0-5</w:t>
            </w:r>
          </w:p>
        </w:tc>
        <w:tc>
          <w:tcPr>
            <w:tcW w:type="dxa" w:w="698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The authoritative source and upstream origin are clearly defined.</w:t>
            </w:r>
          </w:p>
        </w:tc>
      </w:tr>
      <w:tr>
        <w:tc>
          <w:tcPr>
            <w:tcW w:type="dxa" w:w="25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Transformation transparency</w:t>
            </w:r>
          </w:p>
        </w:tc>
        <w:tc>
          <w:tcPr>
            <w:tcW w:type="dxa" w:w="93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0-5</w:t>
            </w:r>
          </w:p>
        </w:tc>
        <w:tc>
          <w:tcPr>
            <w:tcW w:type="dxa" w:w="698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Calculation, enrichment, joins, model features, and manual steps are documented and owned.</w:t>
            </w:r>
          </w:p>
        </w:tc>
      </w:tr>
      <w:tr>
        <w:tc>
          <w:tcPr>
            <w:tcW w:type="dxa" w:w="25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Consumer visibility</w:t>
            </w:r>
          </w:p>
        </w:tc>
        <w:tc>
          <w:tcPr>
            <w:tcW w:type="dxa" w:w="93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0-5</w:t>
            </w:r>
          </w:p>
        </w:tc>
        <w:tc>
          <w:tcPr>
            <w:tcW w:type="dxa" w:w="698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Dashboards, decisions, workflows, controls, AI models, and agents using the data are known.</w:t>
            </w:r>
          </w:p>
        </w:tc>
      </w:tr>
      <w:tr>
        <w:tc>
          <w:tcPr>
            <w:tcW w:type="dxa" w:w="25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Evidence strength</w:t>
            </w:r>
          </w:p>
        </w:tc>
        <w:tc>
          <w:tcPr>
            <w:tcW w:type="dxa" w:w="93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0-5</w:t>
            </w:r>
          </w:p>
        </w:tc>
        <w:tc>
          <w:tcPr>
            <w:tcW w:type="dxa" w:w="698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Lineage is supported by catalog links, pipeline logs, definitions, data contracts, and review history.</w:t>
            </w:r>
          </w:p>
        </w:tc>
      </w:tr>
      <w:tr>
        <w:tc>
          <w:tcPr>
            <w:tcW w:type="dxa" w:w="25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Freshness discipline</w:t>
            </w:r>
          </w:p>
        </w:tc>
        <w:tc>
          <w:tcPr>
            <w:tcW w:type="dxa" w:w="93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0-5</w:t>
            </w:r>
          </w:p>
        </w:tc>
        <w:tc>
          <w:tcPr>
            <w:tcW w:type="dxa" w:w="698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Refresh cadence and stale-data triggers are defined and monitored.</w:t>
            </w:r>
          </w:p>
        </w:tc>
      </w:tr>
      <w:tr>
        <w:tc>
          <w:tcPr>
            <w:tcW w:type="dxa" w:w="25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AI safety boundary</w:t>
            </w:r>
          </w:p>
        </w:tc>
        <w:tc>
          <w:tcPr>
            <w:tcW w:type="dxa" w:w="93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0-5</w:t>
            </w:r>
          </w:p>
        </w:tc>
        <w:tc>
          <w:tcPr>
            <w:tcW w:type="dxa" w:w="698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AI retrieval, recommendation, update, and action boundaries are explicit and reviewable.</w:t>
            </w:r>
          </w:p>
        </w:tc>
      </w:tr>
      <w:tr>
        <w:tc>
          <w:tcPr>
            <w:tcW w:type="dxa" w:w="25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Exception management</w:t>
            </w:r>
          </w:p>
        </w:tc>
        <w:tc>
          <w:tcPr>
            <w:tcW w:type="dxa" w:w="93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0-5</w:t>
            </w:r>
          </w:p>
        </w:tc>
        <w:tc>
          <w:tcPr>
            <w:tcW w:type="dxa" w:w="698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Manual steps, duplicates, shadow sources, broken feeds, and disputed lineage have clear escalation paths.</w:t>
            </w:r>
          </w:p>
        </w:tc>
      </w:tr>
    </w:tbl>
    <w:p>
      <w:pPr>
        <w:spacing w:after="20"/>
      </w:pPr>
    </w:p>
    <w:p>
      <w:pPr>
        <w:spacing w:after="60" w:before="0"/>
      </w:pPr>
      <w:r>
        <w:rPr>
          <w:rFonts w:ascii="Aptos" w:hAnsi="Aptos" w:eastAsia="Aptos"/>
          <w:b/>
          <w:i w:val="0"/>
          <w:color w:val="2D3924"/>
          <w:sz w:val="16"/>
        </w:rPr>
        <w:t>Suggested readiness score: average the eight scores, then classify 0-1.9 as Fragile, 2.0-3.4 as Developing, 3.5-4.4 as Governed, and 4.5-5.0 as AI-ready.</w:t>
      </w: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10. AI prompts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Given this data object, identify the source system, transformation steps, downstream consumers, decision dependencies, and missing owners.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Compare the declared source of truth against actual downstream dashboards, workflows, AI tools, and manual exports. Flag duplicate or conflicting lineage paths.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Score this lineage path from 0 to 5 across ownership clarity, source clarity, transformation transparency, consumer visibility, evidence strength, freshness discipline, AI safety, and exception management.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Identify whether this dataset is safe for AI retrieval, summary, recommendation, classification, or autonomous action. Explain the human review rule needed.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Generate a lineage exception report showing stale data, undocumented transformations, shadow copies, missing owners, weak evidence, and high-risk AI consumers.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Create a migration plan to move this lineage path from manual documentation to governed Lapemo ingestion.</w:t>
      </w: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11. Validation rules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Every lineage object must have one accountable source owner and one technical owner.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Every transformation must have a documented owner, purpose, and approval state.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Every downstream AI use must reference an approved source, freshness window, sensitivity rule, and human review boundary.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Every decision-grade metric must have a named source, formula, steward, quality threshold, and review date.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No dashboard, model, agent, workflow, or external report should consume data from an unowned or disputed lineage path.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Manual exports, spreadsheet changes, and shadow copies must be flagged as exceptions unless explicitly approved.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If data is stale, disputed, low-confidence, or missing evidence, it cannot be used as authoritative truth without owner approval.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Status must never be encoded only by color; use labels such as approved, provisional, stale, disputed, retired, or exception.</w:t>
      </w: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12. Lapemo ingestion mapping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2232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3"/>
              </w:rPr>
              <w:t>Lapemo object</w:t>
            </w:r>
          </w:p>
        </w:tc>
        <w:tc>
          <w:tcPr>
            <w:tcW w:type="dxa" w:w="3528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3"/>
              </w:rPr>
              <w:t>Fields / entities</w:t>
            </w:r>
          </w:p>
        </w:tc>
        <w:tc>
          <w:tcPr>
            <w:tcW w:type="dxa" w:w="4680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3"/>
              </w:rPr>
              <w:t>Use</w:t>
            </w:r>
          </w:p>
        </w:tc>
      </w:tr>
      <w:tr>
        <w:tc>
          <w:tcPr>
            <w:tcW w:type="dxa" w:w="22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Knowledge object</w:t>
            </w:r>
          </w:p>
        </w:tc>
        <w:tc>
          <w:tcPr>
            <w:tcW w:type="dxa" w:w="352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Data Lineage Map</w:t>
            </w:r>
          </w:p>
        </w:tc>
        <w:tc>
          <w:tcPr>
            <w:tcW w:type="dxa" w:w="468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Canonical reusable artifact for lineage readiness and AI-safe data consumption.</w:t>
            </w:r>
          </w:p>
        </w:tc>
      </w:tr>
      <w:tr>
        <w:tc>
          <w:tcPr>
            <w:tcW w:type="dxa" w:w="223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Ownership object</w:t>
            </w:r>
          </w:p>
        </w:tc>
        <w:tc>
          <w:tcPr>
            <w:tcW w:type="dxa" w:w="352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Source owner, technical owner, steward, transformation owner</w:t>
            </w:r>
          </w:p>
        </w:tc>
        <w:tc>
          <w:tcPr>
            <w:tcW w:type="dxa" w:w="468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Connects lineage to accountability.</w:t>
            </w:r>
          </w:p>
        </w:tc>
      </w:tr>
      <w:tr>
        <w:tc>
          <w:tcPr>
            <w:tcW w:type="dxa" w:w="22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Information object</w:t>
            </w:r>
          </w:p>
        </w:tc>
        <w:tc>
          <w:tcPr>
            <w:tcW w:type="dxa" w:w="352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Source, transformation, storage, consumer, evidence</w:t>
            </w:r>
          </w:p>
        </w:tc>
        <w:tc>
          <w:tcPr>
            <w:tcW w:type="dxa" w:w="468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Connects lineage to enterprise knowledge and data products.</w:t>
            </w:r>
          </w:p>
        </w:tc>
      </w:tr>
      <w:tr>
        <w:tc>
          <w:tcPr>
            <w:tcW w:type="dxa" w:w="223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Platform object</w:t>
            </w:r>
          </w:p>
        </w:tc>
        <w:tc>
          <w:tcPr>
            <w:tcW w:type="dxa" w:w="352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Systems, integrations, APIs, pipelines, BI, model registry, vector index</w:t>
            </w:r>
          </w:p>
        </w:tc>
        <w:tc>
          <w:tcPr>
            <w:tcW w:type="dxa" w:w="468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Connects lineage to enterprise systems under control.</w:t>
            </w:r>
          </w:p>
        </w:tc>
      </w:tr>
      <w:tr>
        <w:tc>
          <w:tcPr>
            <w:tcW w:type="dxa" w:w="22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Decision object</w:t>
            </w:r>
          </w:p>
        </w:tc>
        <w:tc>
          <w:tcPr>
            <w:tcW w:type="dxa" w:w="352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Decision/action supported, evidence link, confidence</w:t>
            </w:r>
          </w:p>
        </w:tc>
        <w:tc>
          <w:tcPr>
            <w:tcW w:type="dxa" w:w="468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Connects data to decisions and outcomes.</w:t>
            </w:r>
          </w:p>
        </w:tc>
      </w:tr>
      <w:tr>
        <w:tc>
          <w:tcPr>
            <w:tcW w:type="dxa" w:w="223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Governance object</w:t>
            </w:r>
          </w:p>
        </w:tc>
        <w:tc>
          <w:tcPr>
            <w:tcW w:type="dxa" w:w="352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Sensitivity, access, control, exception, review date</w:t>
            </w:r>
          </w:p>
        </w:tc>
        <w:tc>
          <w:tcPr>
            <w:tcW w:type="dxa" w:w="468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Connects lineage to risk, compliance, and auditability.</w:t>
            </w:r>
          </w:p>
        </w:tc>
      </w:tr>
      <w:tr>
        <w:tc>
          <w:tcPr>
            <w:tcW w:type="dxa" w:w="22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AI object</w:t>
            </w:r>
          </w:p>
        </w:tc>
        <w:tc>
          <w:tcPr>
            <w:tcW w:type="dxa" w:w="352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AI usage boundary, human review rule, output log, agent consumer</w:t>
            </w:r>
          </w:p>
        </w:tc>
        <w:tc>
          <w:tcPr>
            <w:tcW w:type="dxa" w:w="468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0" w:type="dxa"/>
              <w:start w:w="55" w:type="dxa"/>
              <w:bottom w:w="50" w:type="dxa"/>
              <w:end w:w="55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Connects data lineage to AI governance and control.</w:t>
            </w:r>
          </w:p>
        </w:tc>
      </w:tr>
    </w:tbl>
    <w:p>
      <w:pPr>
        <w:spacing w:after="20"/>
      </w:pP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13. Reusable knowledge-object model</w:t>
      </w:r>
    </w:p>
    <w:p>
      <w:pPr>
        <w:spacing w:after="60" w:before="0"/>
      </w:pPr>
      <w:r>
        <w:rPr>
          <w:rFonts w:ascii="Aptos" w:hAnsi="Aptos" w:eastAsia="Aptos"/>
          <w:b w:val="0"/>
          <w:i w:val="0"/>
          <w:color w:val="1B1C19"/>
          <w:sz w:val="17"/>
        </w:rPr>
        <w:t>This artifact should exist in four synchronized forms: a human-readable guide, a downloadable template, a machine-readable JSON object, and a guided Lapemo skill. The knowledge object should be versioned, reviewed, scored, and connected to system data over time. It should not auto-update silently. Lapemo should flag stale lineage, missing owners, broken evidence, new AI consumers, and high-risk exceptions for human approval.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35" w:bottom="792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 w:eastAsia="Aptos"/>
        <w:color w:val="5E605A"/>
        <w:sz w:val="14"/>
      </w:rPr>
      <w:t>Reusable artifact package: DOCX · PDF · Markdown · JSON skill schema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 w:eastAsia="Aptos"/>
        <w:color w:val="5E605A"/>
        <w:sz w:val="14"/>
      </w:rPr>
      <w:t>LPM / Lapemo Knowledge Object  |  Data Lineage Map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LPM Reusable Data Lineage Map v1</dc:title>
  <dc:subject>LPM Knowledge Object for mapping data lineage and AI-safe data consumption</dc:subject>
  <dc:creator>LPM / Lapemo</dc:creator>
  <cp:keywords>LPM, Lapemo, Data Lineage, Information Ecology, AI Governance, Platform Structure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