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jc w:val="center"/>
      </w:pPr>
      <w:r>
        <w:rPr>
          <w:rFonts w:ascii="Aptos" w:hAnsi="Aptos" w:eastAsia="Aptos"/>
          <w:b/>
          <w:color w:val="1B1C19"/>
          <w:sz w:val="38"/>
        </w:rPr>
        <w:t>LPM Reusable Escalation Map</w:t>
      </w:r>
    </w:p>
    <w:p>
      <w:pPr>
        <w:spacing w:after="160" w:before="0"/>
        <w:jc w:val="center"/>
      </w:pPr>
      <w:r>
        <w:rPr>
          <w:rFonts w:ascii="Aptos" w:hAnsi="Aptos" w:eastAsia="Aptos"/>
          <w:b w:val="0"/>
          <w:color w:val="5E605A"/>
          <w:sz w:val="17"/>
        </w:rPr>
        <w:t>A versioned knowledge object for surfacing blocked ownership, decision conflict, risk, and AI escalation paths.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44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6"/>
              </w:rPr>
              <w:t>Field</w:t>
            </w:r>
          </w:p>
        </w:tc>
        <w:tc>
          <w:tcPr>
            <w:tcW w:type="dxa" w:w="748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6"/>
              </w:rPr>
              <w:t>Value</w:t>
            </w:r>
          </w:p>
        </w:tc>
      </w:tr>
      <w:tr>
        <w:tc>
          <w:tcPr>
            <w:tcW w:type="dxa" w:w="24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Object type</w:t>
            </w:r>
          </w:p>
        </w:tc>
        <w:tc>
          <w:tcPr>
            <w:tcW w:type="dxa" w:w="748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LPM Knowledge Object</w:t>
            </w:r>
          </w:p>
        </w:tc>
      </w:tr>
      <w:tr>
        <w:tc>
          <w:tcPr>
            <w:tcW w:type="dxa" w:w="24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Primary LPM layers</w:t>
            </w:r>
          </w:p>
        </w:tc>
        <w:tc>
          <w:tcPr>
            <w:tcW w:type="dxa" w:w="748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Governance Architecture, Decision Architecture, Ownership Map, Communication Architecture, AI Amplification</w:t>
            </w:r>
          </w:p>
        </w:tc>
      </w:tr>
      <w:tr>
        <w:tc>
          <w:tcPr>
            <w:tcW w:type="dxa" w:w="24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Connected layers</w:t>
            </w:r>
          </w:p>
        </w:tc>
        <w:tc>
          <w:tcPr>
            <w:tcW w:type="dxa" w:w="748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Identity &amp; Incentives, Information Ecology, Platform Structure</w:t>
            </w:r>
          </w:p>
        </w:tc>
      </w:tr>
      <w:tr>
        <w:tc>
          <w:tcPr>
            <w:tcW w:type="dxa" w:w="24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Primary use</w:t>
            </w:r>
          </w:p>
        </w:tc>
        <w:tc>
          <w:tcPr>
            <w:tcW w:type="dxa" w:w="748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Define when issues, decisions, dependencies, risks, exceptions, and AI events must escalate, who owns the path, and how resolution is tracked.</w:t>
            </w:r>
          </w:p>
        </w:tc>
      </w:tr>
      <w:tr>
        <w:tc>
          <w:tcPr>
            <w:tcW w:type="dxa" w:w="24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Website use</w:t>
            </w:r>
          </w:p>
        </w:tc>
        <w:tc>
          <w:tcPr>
            <w:tcW w:type="dxa" w:w="748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Downloadable template, executive guide, operating model reference, JSON object for Lapemo ingestion, and future guided skill.</w:t>
            </w:r>
          </w:p>
        </w:tc>
      </w:tr>
      <w:tr>
        <w:tc>
          <w:tcPr>
            <w:tcW w:type="dxa" w:w="24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Version</w:t>
            </w:r>
          </w:p>
        </w:tc>
        <w:tc>
          <w:tcPr>
            <w:tcW w:type="dxa" w:w="748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1.0</w:t>
            </w:r>
          </w:p>
        </w:tc>
      </w:tr>
      <w:tr>
        <w:tc>
          <w:tcPr>
            <w:tcW w:type="dxa" w:w="24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Owner</w:t>
            </w:r>
          </w:p>
        </w:tc>
        <w:tc>
          <w:tcPr>
            <w:tcW w:type="dxa" w:w="748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LPM / Lapemo</w:t>
            </w:r>
          </w:p>
        </w:tc>
      </w:tr>
      <w:tr>
        <w:tc>
          <w:tcPr>
            <w:tcW w:type="dxa" w:w="24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Last reviewed</w:t>
            </w:r>
          </w:p>
        </w:tc>
        <w:tc>
          <w:tcPr>
            <w:tcW w:type="dxa" w:w="748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6"/>
              </w:rPr>
              <w:t>2026-06-24</w:t>
            </w:r>
          </w:p>
        </w:tc>
      </w:tr>
    </w:tbl>
    <w:p>
      <w:pPr>
        <w:spacing w:after="20"/>
      </w:pPr>
    </w:p>
    <w:p>
      <w:pPr>
        <w:spacing w:after="80" w:before="0"/>
      </w:pPr>
      <w:r>
        <w:rPr>
          <w:rFonts w:ascii="Aptos" w:hAnsi="Aptos" w:eastAsia="Aptos"/>
          <w:b w:val="0"/>
          <w:color w:val="1B1C19"/>
          <w:sz w:val="17"/>
        </w:rPr>
        <w:t>An Escalation Map defines how the enterprise moves from signal to owner, owner to decision, decision to resolution, and resolution to operating memory. It prevents important issues from disappearing inside meetings, channels, side conversations, or informal executive access.</w:t>
      </w:r>
    </w:p>
    <w:p>
      <w:pPr>
        <w:spacing w:after="40" w:before="0"/>
      </w:pPr>
      <w:r>
        <w:rPr>
          <w:rFonts w:ascii="Aptos" w:hAnsi="Aptos" w:eastAsia="Aptos"/>
          <w:b/>
          <w:color w:val="1B1C19"/>
          <w:sz w:val="17"/>
        </w:rPr>
        <w:t>The object is reusable across three company profiles: 500+, 5,000+, and 10,000+ employees.</w:t>
      </w:r>
    </w:p>
    <w:p>
      <w:r>
        <w:br w:type="page"/>
      </w:r>
    </w:p>
    <w:p>
      <w:pPr>
        <w:spacing w:before="200" w:after="80"/>
      </w:pPr>
      <w:r>
        <w:rPr>
          <w:rFonts w:ascii="Aptos" w:hAnsi="Aptos" w:eastAsia="Aptos"/>
          <w:b/>
          <w:color w:val="1B1C19"/>
          <w:sz w:val="30"/>
        </w:rPr>
        <w:t>1. Knowledge object model</w:t>
      </w:r>
    </w:p>
    <w:p>
      <w:pPr>
        <w:spacing w:after="60" w:before="0"/>
      </w:pPr>
      <w:r>
        <w:rPr>
          <w:rFonts w:ascii="Aptos" w:hAnsi="Aptos" w:eastAsia="Aptos"/>
          <w:b w:val="0"/>
          <w:color w:val="1B1C19"/>
          <w:sz w:val="17"/>
        </w:rPr>
        <w:t>This knowledge object is designed to be used as both a downloadable artifact and a future reusable Lapemo skill.</w:t>
      </w:r>
    </w:p>
    <w:p>
      <w:pPr>
        <w:pStyle w:val="ListBullet"/>
        <w:spacing w:after="30"/>
      </w:pPr>
      <w:r>
        <w:rPr>
          <w:rFonts w:ascii="Aptos" w:hAnsi="Aptos" w:eastAsia="Aptos"/>
          <w:color w:val="1B1C19"/>
          <w:sz w:val="17"/>
        </w:rPr>
        <w:t>Human guide - plain-language escalation guidance for executives, transformation leaders, operations, product, technology, risk, governance, data, and AI teams.</w:t>
      </w:r>
    </w:p>
    <w:p>
      <w:pPr>
        <w:pStyle w:val="ListBullet"/>
        <w:spacing w:after="30"/>
      </w:pPr>
      <w:r>
        <w:rPr>
          <w:rFonts w:ascii="Aptos" w:hAnsi="Aptos" w:eastAsia="Aptos"/>
          <w:color w:val="1B1C19"/>
          <w:sz w:val="17"/>
        </w:rPr>
        <w:t>Template artifact - a downloadable map teams can use to define escalation paths before work, systems, or AI autonomy scale.</w:t>
      </w:r>
    </w:p>
    <w:p>
      <w:pPr>
        <w:pStyle w:val="ListBullet"/>
        <w:spacing w:after="30"/>
      </w:pPr>
      <w:r>
        <w:rPr>
          <w:rFonts w:ascii="Aptos" w:hAnsi="Aptos" w:eastAsia="Aptos"/>
          <w:color w:val="1B1C19"/>
          <w:sz w:val="17"/>
        </w:rPr>
        <w:t>Machine-readable schema - fields, scoring logic, validation rules, mappings, prompts, review triggers, and version metadata.</w:t>
      </w:r>
    </w:p>
    <w:p>
      <w:pPr>
        <w:pStyle w:val="ListBullet"/>
        <w:spacing w:after="30"/>
      </w:pPr>
      <w:r>
        <w:rPr>
          <w:rFonts w:ascii="Aptos" w:hAnsi="Aptos" w:eastAsia="Aptos"/>
          <w:color w:val="1B1C19"/>
          <w:sz w:val="17"/>
        </w:rPr>
        <w:t>Guided skill - an AI-assisted workflow that classifies escalation type, severity, owner path, evidence quality, AI boundary risk, and required follow-up object updates.</w:t>
      </w:r>
    </w:p>
    <w:p>
      <w:pPr>
        <w:spacing w:before="200" w:after="80"/>
      </w:pPr>
      <w:r>
        <w:rPr>
          <w:rFonts w:ascii="Aptos" w:hAnsi="Aptos" w:eastAsia="Aptos"/>
          <w:b/>
          <w:color w:val="1B1C19"/>
          <w:sz w:val="30"/>
        </w:rPr>
        <w:t>2. Why this matters for AI scaling</w:t>
      </w:r>
    </w:p>
    <w:p>
      <w:pPr>
        <w:spacing w:after="60" w:before="0"/>
      </w:pPr>
      <w:r>
        <w:rPr>
          <w:rFonts w:ascii="Aptos" w:hAnsi="Aptos" w:eastAsia="Aptos"/>
          <w:b w:val="0"/>
          <w:color w:val="1B1C19"/>
          <w:sz w:val="17"/>
        </w:rPr>
        <w:t>AI will speed up routing, summarization, recommendations, and execution. If escalation paths are unclear, AI will move issues faster through the wrong owners or escalate noise while missing true risk. The map makes escalation explicit, tiered, owner-based, and auditable.</w:t>
      </w:r>
    </w:p>
    <w:p>
      <w:pPr>
        <w:spacing w:before="200" w:after="80"/>
      </w:pPr>
      <w:r>
        <w:rPr>
          <w:rFonts w:ascii="Aptos" w:hAnsi="Aptos" w:eastAsia="Aptos"/>
          <w:b/>
          <w:color w:val="1B1C19"/>
          <w:sz w:val="30"/>
        </w:rPr>
        <w:t>3. Core principles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5"/>
              </w:rPr>
              <w:t>Principle</w:t>
            </w:r>
          </w:p>
        </w:tc>
        <w:tc>
          <w:tcPr>
            <w:tcW w:type="dxa" w:w="720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5"/>
              </w:rPr>
              <w:t>Meaning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 is a designed path</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 should not depend on who knows whom, who is loudest, or who has executive access.</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Escalate by consequence</w:t>
            </w:r>
          </w:p>
        </w:tc>
        <w:tc>
          <w:tcPr>
            <w:tcW w:type="dxa" w:w="720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The trigger should be tied to customer, employee, financial, regulatory, platform, governance, or AI impact.</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One owner per escalation</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Every open escalation has one accountable escalation owner and one resolution owner.</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Speed is tiered</w:t>
            </w:r>
          </w:p>
        </w:tc>
        <w:tc>
          <w:tcPr>
            <w:tcW w:type="dxa" w:w="720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Low-risk issues resolve locally. Material issues move quickly to the right authority tier.</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Evidence travels with the escalation</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Escalations must include the decision, dependency, risk, evidence, impact, options, and recommended path.</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 creates memory</w:t>
            </w:r>
          </w:p>
        </w:tc>
        <w:tc>
          <w:tcPr>
            <w:tcW w:type="dxa" w:w="720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Resolved escalations should feed the Decision Log, Ownership Map, risk register, backlog, control library, or AI governance record when material.</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AI events have stop paths</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AI-enabled workflows need human override, incident response, boundary owner, and stop-control paths before autonomy scales.</w:t>
            </w:r>
          </w:p>
        </w:tc>
      </w:tr>
    </w:tbl>
    <w:p>
      <w:pPr>
        <w:spacing w:after="20"/>
      </w:pPr>
    </w:p>
    <w:p>
      <w:r>
        <w:br w:type="page"/>
      </w:r>
    </w:p>
    <w:p>
      <w:pPr>
        <w:spacing w:before="200" w:after="80"/>
      </w:pPr>
      <w:r>
        <w:rPr>
          <w:rFonts w:ascii="Aptos" w:hAnsi="Aptos" w:eastAsia="Aptos"/>
          <w:b/>
          <w:color w:val="1B1C19"/>
          <w:sz w:val="30"/>
        </w:rPr>
        <w:t>4. Canonical fields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30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Field</w:t>
            </w:r>
          </w:p>
        </w:tc>
        <w:tc>
          <w:tcPr>
            <w:tcW w:type="dxa" w:w="590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What it captures</w:t>
            </w:r>
          </w:p>
        </w:tc>
        <w:tc>
          <w:tcPr>
            <w:tcW w:type="dxa" w:w="172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Required?</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ID</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Unique identifier for the escalation, issue, exception, conflict, risk, or AI event</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category</w:t>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conflict, ownership gap, dependency, delivery risk, platform risk, data risk, governance exception, AI event, customer impact, financial impact, people impact, security, privacy, legal, or regulatory issue</w:t>
            </w:r>
          </w:p>
        </w:tc>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Trigger condition</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What caused the escalation and what threshold was breached</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Severity tier</w:t>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Tier 0 local, Tier 1 functional, Tier 2 cross-functional, Tier 3 executive, Tier 4 enterprise control, or Tier 5 board/regulator/external</w:t>
            </w:r>
          </w:p>
        </w:tc>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Business impact</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Impact on customer, revenue, cost, employee experience, operations, risk, compliance, strategy, or execution</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Affected decision</w:t>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or decision right connected to the escalation</w:t>
            </w:r>
          </w:p>
        </w:tc>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Required when decision-related</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Affected owner</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Accountable owner, process owner, system owner, data owner, control owner, or AI boundary owner</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owner</w:t>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One person or role accountable for moving the escalation to resolution</w:t>
            </w:r>
          </w:p>
        </w:tc>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Resolution owner</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Person or role accountable for fixing the issue, decision, dependency, control, or workflow</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bl>
    <w:p>
      <w:pPr>
        <w:spacing w:after="20"/>
      </w:pPr>
    </w:p>
    <w:p>
      <w:r>
        <w:br w:type="page"/>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30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Field</w:t>
            </w:r>
          </w:p>
        </w:tc>
        <w:tc>
          <w:tcPr>
            <w:tcW w:type="dxa" w:w="590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What it captures</w:t>
            </w:r>
          </w:p>
        </w:tc>
        <w:tc>
          <w:tcPr>
            <w:tcW w:type="dxa" w:w="172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Required?</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Control owner</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Risk, compliance, legal, privacy, security, audit, finance, or model-risk owner</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Required for material risk</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boundary owner</w:t>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Human owner accountable for AI override, monitoring, stop control, and incident path</w:t>
            </w:r>
          </w:p>
        </w:tc>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Required when AI involved</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Evidence attached</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Facts, metrics, decision record, dependency map, policy, system evidence, AI output, audit evidence, or impact analysis</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SLA / response time</w:t>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Expected first response, decision time, resolution time, and review cadence by severity tier</w:t>
            </w:r>
          </w:p>
        </w:tc>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Communication path</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Where escalation status is communicated and who is informed</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log link</w:t>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Link to decision record when escalation results in a material decision</w:t>
            </w:r>
          </w:p>
        </w:tc>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Required if material</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Status</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Open, triaged, escalated, decision pending, resolving, blocked, resolved, superseded, or closed</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Review date</w:t>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Date when escalation, root cause, and operating-model correction are reviewed</w:t>
            </w:r>
          </w:p>
        </w:tc>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Version</w:t>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Artifact version, owner, last reviewed date, and change history</w:t>
            </w:r>
          </w:p>
        </w:tc>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Yes</w:t>
            </w:r>
          </w:p>
        </w:tc>
      </w:tr>
    </w:tbl>
    <w:p>
      <w:pPr>
        <w:spacing w:after="20"/>
      </w:pPr>
    </w:p>
    <w:p>
      <w:pPr>
        <w:spacing w:before="200" w:after="80"/>
      </w:pPr>
      <w:r>
        <w:rPr>
          <w:rFonts w:ascii="Aptos" w:hAnsi="Aptos" w:eastAsia="Aptos"/>
          <w:b/>
          <w:color w:val="1B1C19"/>
          <w:sz w:val="30"/>
        </w:rPr>
        <w:t>5. Escalation scoring logic</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86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5"/>
              </w:rPr>
              <w:t>Score</w:t>
            </w:r>
          </w:p>
        </w:tc>
        <w:tc>
          <w:tcPr>
            <w:tcW w:type="dxa" w:w="921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5"/>
              </w:rPr>
              <w:t>Meaning</w:t>
            </w:r>
          </w:p>
        </w:tc>
      </w:tr>
      <w:tr>
        <w:tc>
          <w:tcPr>
            <w:tcW w:type="dxa" w:w="86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0</w:t>
            </w:r>
          </w:p>
        </w:tc>
        <w:tc>
          <w:tcPr>
            <w:tcW w:type="dxa" w:w="92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 paths are informal, political, meeting-driven, or dependent on personal relationships.</w:t>
            </w:r>
          </w:p>
        </w:tc>
      </w:tr>
      <w:tr>
        <w:tc>
          <w:tcPr>
            <w:tcW w:type="dxa" w:w="86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1</w:t>
            </w:r>
          </w:p>
        </w:tc>
        <w:tc>
          <w:tcPr>
            <w:tcW w:type="dxa" w:w="92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 paths exist but are inconsistent, slow, undocumented, or disconnected from owners and decision rights.</w:t>
            </w:r>
          </w:p>
        </w:tc>
      </w:tr>
      <w:tr>
        <w:tc>
          <w:tcPr>
            <w:tcW w:type="dxa" w:w="86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2</w:t>
            </w:r>
          </w:p>
        </w:tc>
        <w:tc>
          <w:tcPr>
            <w:tcW w:type="dxa" w:w="92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 tiers are defined, but evidence standards, SLAs, AI triggers, control owners, or closure rules are weak.</w:t>
            </w:r>
          </w:p>
        </w:tc>
      </w:tr>
      <w:tr>
        <w:tc>
          <w:tcPr>
            <w:tcW w:type="dxa" w:w="86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3</w:t>
            </w:r>
          </w:p>
        </w:tc>
        <w:tc>
          <w:tcPr>
            <w:tcW w:type="dxa" w:w="92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 paths are clear, owner-based, severity-tiered, evidence-backed, and connected to decisions, risks, and execution.</w:t>
            </w:r>
          </w:p>
        </w:tc>
      </w:tr>
      <w:tr>
        <w:tc>
          <w:tcPr>
            <w:tcW w:type="dxa" w:w="86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4</w:t>
            </w:r>
          </w:p>
        </w:tc>
        <w:tc>
          <w:tcPr>
            <w:tcW w:type="dxa" w:w="92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5"/>
              </w:rPr>
              <w:t>Escalation is federated, auditable, AI-aware, monitored, tied to operating-model corrections, and continuously improved.</w:t>
            </w:r>
          </w:p>
        </w:tc>
      </w:tr>
    </w:tbl>
    <w:p>
      <w:pPr>
        <w:spacing w:after="20"/>
      </w:pPr>
    </w:p>
    <w:p>
      <w:pPr>
        <w:spacing w:after="60" w:before="0"/>
      </w:pPr>
      <w:r>
        <w:rPr>
          <w:rFonts w:ascii="Aptos" w:hAnsi="Aptos" w:eastAsia="Aptos"/>
          <w:b/>
          <w:color w:val="1B1C19"/>
          <w:sz w:val="16"/>
        </w:rPr>
        <w:t>Escalation health score: average of path clarity, owner clarity, severity accuracy, evidence quality, SLA discipline, control coverage, AI boundary clarity, communication quality, and closure discipline.</w:t>
      </w:r>
    </w:p>
    <w:p>
      <w:pPr>
        <w:spacing w:after="60" w:before="0"/>
      </w:pPr>
      <w:r>
        <w:rPr>
          <w:rFonts w:ascii="Aptos" w:hAnsi="Aptos" w:eastAsia="Aptos"/>
          <w:b w:val="0"/>
          <w:color w:val="1B1C19"/>
          <w:sz w:val="16"/>
        </w:rPr>
        <w:t>High-risk flag: any escalation with no owner, no resolution owner, missing control owner for material risk, AI involvement without a boundary owner, unresolved SLA breach, or material decision not logged.</w:t>
      </w:r>
    </w:p>
    <w:p>
      <w:r>
        <w:br w:type="page"/>
      </w:r>
    </w:p>
    <w:p>
      <w:pPr>
        <w:spacing w:before="200" w:after="80"/>
      </w:pPr>
      <w:r>
        <w:rPr>
          <w:rFonts w:ascii="Aptos" w:hAnsi="Aptos" w:eastAsia="Aptos"/>
          <w:b/>
          <w:color w:val="1B1C19"/>
          <w:sz w:val="30"/>
        </w:rPr>
        <w:t>6. Severity tiers</w:t>
      </w:r>
    </w:p>
    <w:tbl>
      <w:tblPr>
        <w:tblStyle w:val="TableGrid"/>
        <w:tblW w:type="auto" w:w="0"/>
        <w:jc w:val="center"/>
        <w:tblLook w:firstColumn="1" w:firstRow="1" w:lastColumn="0" w:lastRow="0" w:noHBand="0" w:noVBand="1" w:val="04A0"/>
      </w:tblPr>
      <w:tblGrid>
        <w:gridCol w:w="2131"/>
        <w:gridCol w:w="2131"/>
        <w:gridCol w:w="2131"/>
        <w:gridCol w:w="2131"/>
        <w:gridCol w:w="2131"/>
      </w:tblGrid>
      <w:tr>
        <w:trPr>
          <w:tblHeader w:val="true"/>
        </w:trPr>
        <w:tc>
          <w:tcPr>
            <w:tcW w:type="dxa" w:w="172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2"/>
              </w:rPr>
              <w:t>Tier</w:t>
            </w:r>
          </w:p>
        </w:tc>
        <w:tc>
          <w:tcPr>
            <w:tcW w:type="dxa" w:w="316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2"/>
              </w:rPr>
              <w:t>When used</w:t>
            </w:r>
          </w:p>
        </w:tc>
        <w:tc>
          <w:tcPr>
            <w:tcW w:type="dxa" w:w="216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2"/>
              </w:rPr>
              <w:t>Typical owner</w:t>
            </w:r>
          </w:p>
        </w:tc>
        <w:tc>
          <w:tcPr>
            <w:tcW w:type="dxa" w:w="144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2"/>
              </w:rPr>
              <w:t>First response</w:t>
            </w:r>
          </w:p>
        </w:tc>
        <w:tc>
          <w:tcPr>
            <w:tcW w:type="dxa" w:w="244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2"/>
              </w:rPr>
              <w:t>Logging standard</w:t>
            </w:r>
          </w:p>
        </w:tc>
      </w:tr>
      <w:tr>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Tier 0 - Local</w:t>
            </w:r>
          </w:p>
        </w:tc>
        <w:tc>
          <w:tcPr>
            <w:tcW w:type="dxa" w:w="316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Small issue inside one team or workflow</w:t>
            </w:r>
          </w:p>
        </w:tc>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Team lead, product owner, process owner, or domain operator</w:t>
            </w:r>
          </w:p>
        </w:tc>
        <w:tc>
          <w:tcPr>
            <w:tcW w:type="dxa" w:w="144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Same day or next business day</w:t>
            </w:r>
          </w:p>
        </w:tc>
        <w:tc>
          <w:tcPr>
            <w:tcW w:type="dxa" w:w="24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No enterprise log unless recurring</w:t>
            </w:r>
          </w:p>
        </w:tc>
      </w:tr>
      <w:tr>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Tier 1 - Functional</w:t>
            </w:r>
          </w:p>
        </w:tc>
        <w:tc>
          <w:tcPr>
            <w:tcW w:type="dxa" w:w="316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Issue within one function, product, platform, or process</w:t>
            </w:r>
          </w:p>
        </w:tc>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Functional owner or delegated accountable owner</w:t>
            </w:r>
          </w:p>
        </w:tc>
        <w:tc>
          <w:tcPr>
            <w:tcW w:type="dxa" w:w="144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1-2 business days</w:t>
            </w:r>
          </w:p>
        </w:tc>
        <w:tc>
          <w:tcPr>
            <w:tcW w:type="dxa" w:w="24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Log if tied to roadmap, people, budget, platform, or AI</w:t>
            </w:r>
          </w:p>
        </w:tc>
      </w:tr>
      <w:tr>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Tier 2 - Cross-functional</w:t>
            </w:r>
          </w:p>
        </w:tc>
        <w:tc>
          <w:tcPr>
            <w:tcW w:type="dxa" w:w="316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Multiple teams, systems, data flows, dependencies, customers, or controls affected</w:t>
            </w:r>
          </w:p>
        </w:tc>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Named cross-functional escalation owner</w:t>
            </w:r>
          </w:p>
        </w:tc>
        <w:tc>
          <w:tcPr>
            <w:tcW w:type="dxa" w:w="144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24-48 hours</w:t>
            </w:r>
          </w:p>
        </w:tc>
        <w:tc>
          <w:tcPr>
            <w:tcW w:type="dxa" w:w="24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Escalation record and decision log if material</w:t>
            </w:r>
          </w:p>
        </w:tc>
      </w:tr>
      <w:tr>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Tier 3 - Executive</w:t>
            </w:r>
          </w:p>
        </w:tc>
        <w:tc>
          <w:tcPr>
            <w:tcW w:type="dxa" w:w="316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Funding, strategy, portfolio, operating model, vendor, major customer, delivery, or control tradeoff</w:t>
            </w:r>
          </w:p>
        </w:tc>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Executive sponsor or executive forum with named owner</w:t>
            </w:r>
          </w:p>
        </w:tc>
        <w:tc>
          <w:tcPr>
            <w:tcW w:type="dxa" w:w="144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24 hours</w:t>
            </w:r>
          </w:p>
        </w:tc>
        <w:tc>
          <w:tcPr>
            <w:tcW w:type="dxa" w:w="24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Decision log and evidence pack required</w:t>
            </w:r>
          </w:p>
        </w:tc>
      </w:tr>
      <w:tr>
        <w:tc>
          <w:tcPr>
            <w:tcW w:type="dxa" w:w="172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Tier 4 - Enterprise control</w:t>
            </w:r>
          </w:p>
        </w:tc>
        <w:tc>
          <w:tcPr>
            <w:tcW w:type="dxa" w:w="316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Security, privacy, legal, regulatory, model risk, enterprise platform, data governance, or AI boundary breach</w:t>
            </w:r>
          </w:p>
        </w:tc>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Enterprise control owner and accountable executive</w:t>
            </w:r>
          </w:p>
        </w:tc>
        <w:tc>
          <w:tcPr>
            <w:tcW w:type="dxa" w:w="144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Immediate to 24 hours</w:t>
            </w:r>
          </w:p>
        </w:tc>
        <w:tc>
          <w:tcPr>
            <w:tcW w:type="dxa" w:w="24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Formal record, control owner, and review trigger required</w:t>
            </w:r>
          </w:p>
        </w:tc>
      </w:tr>
      <w:tr>
        <w:tc>
          <w:tcPr>
            <w:tcW w:type="dxa" w:w="172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Tier 5 - Board / regulator / external</w:t>
            </w:r>
          </w:p>
        </w:tc>
        <w:tc>
          <w:tcPr>
            <w:tcW w:type="dxa" w:w="316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Material external commitment, regulator exposure, public incident, legal entity impact, or board-level risk</w:t>
            </w:r>
          </w:p>
        </w:tc>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Board-facing executive or formally delegated authority</w:t>
            </w:r>
          </w:p>
        </w:tc>
        <w:tc>
          <w:tcPr>
            <w:tcW w:type="dxa" w:w="144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Immediate</w:t>
            </w:r>
          </w:p>
        </w:tc>
        <w:tc>
          <w:tcPr>
            <w:tcW w:type="dxa" w:w="24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2"/>
              </w:rPr>
              <w:t>Formal evidence pack and audit trail required</w:t>
            </w:r>
          </w:p>
        </w:tc>
      </w:tr>
    </w:tbl>
    <w:p>
      <w:pPr>
        <w:spacing w:after="20"/>
      </w:pPr>
    </w:p>
    <w:p>
      <w:r>
        <w:br w:type="page"/>
      </w:r>
    </w:p>
    <w:p>
      <w:pPr>
        <w:spacing w:before="200" w:after="80"/>
      </w:pPr>
      <w:r>
        <w:rPr>
          <w:rFonts w:ascii="Aptos" w:hAnsi="Aptos" w:eastAsia="Aptos"/>
          <w:b/>
          <w:color w:val="1B1C19"/>
          <w:sz w:val="30"/>
        </w:rPr>
        <w:t>7. Escalation triggers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30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Trigger</w:t>
            </w:r>
          </w:p>
        </w:tc>
        <w:tc>
          <w:tcPr>
            <w:tcW w:type="dxa" w:w="432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What it means</w:t>
            </w:r>
          </w:p>
        </w:tc>
        <w:tc>
          <w:tcPr>
            <w:tcW w:type="dxa" w:w="345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Primary LPM mapping</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Ownership gap</w:t>
            </w:r>
          </w:p>
        </w:tc>
        <w:tc>
          <w:tcPr>
            <w:tcW w:type="dxa" w:w="432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No clear owner for decision, workflow, control, platform, data, or AI boundary</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Ownership Map and Decision Rights Model</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conflict</w:t>
            </w:r>
          </w:p>
        </w:tc>
        <w:tc>
          <w:tcPr>
            <w:tcW w:type="dxa" w:w="432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Two active owners or forums claim authority over the same decision</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Rights Matrix and Decision Log</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Dependency stall</w:t>
            </w:r>
          </w:p>
        </w:tc>
        <w:tc>
          <w:tcPr>
            <w:tcW w:type="dxa" w:w="432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Work is blocked by another team, system, vendor, policy, or data dependency</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Platform Structure and Communication Architecture</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Control exception</w:t>
            </w:r>
          </w:p>
        </w:tc>
        <w:tc>
          <w:tcPr>
            <w:tcW w:type="dxa" w:w="432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Required control, approval, evidence, policy, or audit step is missing or bypassed</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Governance Architecture</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boundary event</w:t>
            </w:r>
          </w:p>
        </w:tc>
        <w:tc>
          <w:tcPr>
            <w:tcW w:type="dxa" w:w="432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output, agent action, automation, model, or prompt workflow crosses approved scope</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Amplification and Governance Architecture</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Data integrity issue</w:t>
            </w:r>
          </w:p>
        </w:tc>
        <w:tc>
          <w:tcPr>
            <w:tcW w:type="dxa" w:w="432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Source data, lineage, quality, access, or definition is disputed or stale</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Information Ecology</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Customer or employee impact</w:t>
            </w:r>
          </w:p>
        </w:tc>
        <w:tc>
          <w:tcPr>
            <w:tcW w:type="dxa" w:w="432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Issue affects external customers, internal workforce, service continuity, or experience quality</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Identity &amp; Incentives and Communication Architecture</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Material value risk</w:t>
            </w:r>
          </w:p>
        </w:tc>
        <w:tc>
          <w:tcPr>
            <w:tcW w:type="dxa" w:w="432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Value realization, cost, revenue, strategic benefit, or transformation outcome is at risk</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Ownership Map and Decision Architecture</w:t>
            </w:r>
          </w:p>
        </w:tc>
      </w:tr>
    </w:tbl>
    <w:p>
      <w:pPr>
        <w:spacing w:after="20"/>
      </w:pPr>
    </w:p>
    <w:p>
      <w:pPr>
        <w:spacing w:before="200" w:after="80"/>
      </w:pPr>
      <w:r>
        <w:rPr>
          <w:rFonts w:ascii="Aptos" w:hAnsi="Aptos" w:eastAsia="Aptos"/>
          <w:b/>
          <w:color w:val="1B1C19"/>
          <w:sz w:val="30"/>
        </w:rPr>
        <w:t>8. Role model</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16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Role</w:t>
            </w:r>
          </w:p>
        </w:tc>
        <w:tc>
          <w:tcPr>
            <w:tcW w:type="dxa" w:w="604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Accountability</w:t>
            </w:r>
          </w:p>
        </w:tc>
        <w:tc>
          <w:tcPr>
            <w:tcW w:type="dxa" w:w="187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Posture</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Issue reporter</w:t>
            </w:r>
          </w:p>
        </w:tc>
        <w:tc>
          <w:tcPr>
            <w:tcW w:type="dxa" w:w="60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Raises the escalation with trigger, evidence, severity, impact, and recommended path</w:t>
            </w:r>
          </w:p>
        </w:tc>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Initiates</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owner</w:t>
            </w:r>
          </w:p>
        </w:tc>
        <w:tc>
          <w:tcPr>
            <w:tcW w:type="dxa" w:w="60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Owns movement from triage to decision, resolution, communication, and closure</w:t>
            </w:r>
          </w:p>
        </w:tc>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Accountable</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Resolution owner</w:t>
            </w:r>
          </w:p>
        </w:tc>
        <w:tc>
          <w:tcPr>
            <w:tcW w:type="dxa" w:w="60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Fixes the underlying issue, dependency, decision, workflow, control, or system condition</w:t>
            </w:r>
          </w:p>
        </w:tc>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Executes</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owner</w:t>
            </w:r>
          </w:p>
        </w:tc>
        <w:tc>
          <w:tcPr>
            <w:tcW w:type="dxa" w:w="60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Owns the decision connected to the escalation and records it when material</w:t>
            </w:r>
          </w:p>
        </w:tc>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Decides or owns decision memory</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Control owner</w:t>
            </w:r>
          </w:p>
        </w:tc>
        <w:tc>
          <w:tcPr>
            <w:tcW w:type="dxa" w:w="60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Reviews risk, compliance, legal, privacy, security, audit, finance, or model-risk exposure</w:t>
            </w:r>
          </w:p>
        </w:tc>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Controls</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Communication owner</w:t>
            </w:r>
          </w:p>
        </w:tc>
        <w:tc>
          <w:tcPr>
            <w:tcW w:type="dxa" w:w="60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Ensures the right stakeholders are informed without turning escalation into noise</w:t>
            </w:r>
          </w:p>
        </w:tc>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Communicates</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Executive sponsor</w:t>
            </w:r>
          </w:p>
        </w:tc>
        <w:tc>
          <w:tcPr>
            <w:tcW w:type="dxa" w:w="604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Breaks high-impact deadlocks, tradeoffs, or resource conflicts</w:t>
            </w:r>
          </w:p>
        </w:tc>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Escalates authority</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boundary owner</w:t>
            </w:r>
          </w:p>
        </w:tc>
        <w:tc>
          <w:tcPr>
            <w:tcW w:type="dxa" w:w="604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Owns AI override, stop-control, monitoring, incident path, and post-event review</w:t>
            </w:r>
          </w:p>
        </w:tc>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Controls AI</w:t>
            </w:r>
          </w:p>
        </w:tc>
      </w:tr>
    </w:tbl>
    <w:p>
      <w:pPr>
        <w:spacing w:after="20"/>
      </w:pPr>
    </w:p>
    <w:p>
      <w:r>
        <w:br w:type="page"/>
      </w:r>
    </w:p>
    <w:p>
      <w:pPr>
        <w:spacing w:before="200" w:after="80"/>
      </w:pPr>
      <w:r>
        <w:rPr>
          <w:rFonts w:ascii="Aptos" w:hAnsi="Aptos" w:eastAsia="Aptos"/>
          <w:b/>
          <w:color w:val="1B1C19"/>
          <w:sz w:val="30"/>
        </w:rPr>
        <w:t>9. SLA and response model</w:t>
      </w:r>
    </w:p>
    <w:tbl>
      <w:tblPr>
        <w:tblStyle w:val="TableGrid"/>
        <w:tblW w:type="auto" w:w="0"/>
        <w:jc w:val="center"/>
        <w:tblLook w:firstColumn="1" w:firstRow="1" w:lastColumn="0" w:lastRow="0" w:noHBand="0" w:noVBand="1" w:val="04A0"/>
      </w:tblPr>
      <w:tblGrid>
        <w:gridCol w:w="2664"/>
        <w:gridCol w:w="2664"/>
        <w:gridCol w:w="2664"/>
        <w:gridCol w:w="2664"/>
      </w:tblGrid>
      <w:tr>
        <w:trPr>
          <w:tblHeader w:val="true"/>
        </w:trPr>
        <w:tc>
          <w:tcPr>
            <w:tcW w:type="dxa" w:w="129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Tier</w:t>
            </w:r>
          </w:p>
        </w:tc>
        <w:tc>
          <w:tcPr>
            <w:tcW w:type="dxa" w:w="201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First response</w:t>
            </w:r>
          </w:p>
        </w:tc>
        <w:tc>
          <w:tcPr>
            <w:tcW w:type="dxa" w:w="345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Resolution expectation</w:t>
            </w:r>
          </w:p>
        </w:tc>
        <w:tc>
          <w:tcPr>
            <w:tcW w:type="dxa" w:w="331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Auto-escalate when</w:t>
            </w:r>
          </w:p>
        </w:tc>
      </w:tr>
      <w:tr>
        <w:tc>
          <w:tcPr>
            <w:tcW w:type="dxa" w:w="129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Tier 0</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Same day or next business day</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Within team rhythm</w:t>
            </w:r>
          </w:p>
        </w:tc>
        <w:tc>
          <w:tcPr>
            <w:tcW w:type="dxa" w:w="331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If recurring three times or unresolved after agreed window</w:t>
            </w:r>
          </w:p>
        </w:tc>
      </w:tr>
      <w:tr>
        <w:tc>
          <w:tcPr>
            <w:tcW w:type="dxa" w:w="129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Tier 1</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1-2 business days</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Within sprint, planning cycle, or function SLA</w:t>
            </w:r>
          </w:p>
        </w:tc>
        <w:tc>
          <w:tcPr>
            <w:tcW w:type="dxa" w:w="331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If dependency, funding, control, or cross-functional conflict appears</w:t>
            </w:r>
          </w:p>
        </w:tc>
      </w:tr>
      <w:tr>
        <w:tc>
          <w:tcPr>
            <w:tcW w:type="dxa" w:w="129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Tier 2</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24-48 hours</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Within 5-10 business days or next governance checkpoint</w:t>
            </w:r>
          </w:p>
        </w:tc>
        <w:tc>
          <w:tcPr>
            <w:tcW w:type="dxa" w:w="331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If customer, platform, regulatory, AI, or executive tradeoff appears</w:t>
            </w:r>
          </w:p>
        </w:tc>
      </w:tr>
      <w:tr>
        <w:tc>
          <w:tcPr>
            <w:tcW w:type="dxa" w:w="129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Tier 3</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24 hours</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Executive decision window defined by impact</w:t>
            </w:r>
          </w:p>
        </w:tc>
        <w:tc>
          <w:tcPr>
            <w:tcW w:type="dxa" w:w="331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If enterprise policy, major risk, or resource conflict remains unresolved</w:t>
            </w:r>
          </w:p>
        </w:tc>
      </w:tr>
      <w:tr>
        <w:tc>
          <w:tcPr>
            <w:tcW w:type="dxa" w:w="129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Tier 4</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Immediate to 24 hours</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Formal remediation plan with control owner</w:t>
            </w:r>
          </w:p>
        </w:tc>
        <w:tc>
          <w:tcPr>
            <w:tcW w:type="dxa" w:w="331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If breach, incident, regulator exposure, or AI stop-control event occurs</w:t>
            </w:r>
          </w:p>
        </w:tc>
      </w:tr>
      <w:tr>
        <w:tc>
          <w:tcPr>
            <w:tcW w:type="dxa" w:w="129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Tier 5</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Immediate</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Formal board/regulator/external path</w:t>
            </w:r>
          </w:p>
        </w:tc>
        <w:tc>
          <w:tcPr>
            <w:tcW w:type="dxa" w:w="331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Handled under formal governance, legal, audit, or crisis protocols</w:t>
            </w:r>
          </w:p>
        </w:tc>
      </w:tr>
    </w:tbl>
    <w:p>
      <w:pPr>
        <w:spacing w:after="20"/>
      </w:pPr>
    </w:p>
    <w:p>
      <w:pPr>
        <w:spacing w:before="200" w:after="80"/>
      </w:pPr>
      <w:r>
        <w:rPr>
          <w:rFonts w:ascii="Aptos" w:hAnsi="Aptos" w:eastAsia="Aptos"/>
          <w:b/>
          <w:color w:val="1B1C19"/>
          <w:sz w:val="30"/>
        </w:rPr>
        <w:t>10. Version A - 500+ employee company</w:t>
      </w:r>
    </w:p>
    <w:p>
      <w:pPr>
        <w:spacing w:after="60" w:before="0"/>
      </w:pPr>
      <w:r>
        <w:rPr>
          <w:rFonts w:ascii="Aptos" w:hAnsi="Aptos" w:eastAsia="Aptos"/>
          <w:b w:val="0"/>
          <w:color w:val="1B1C19"/>
          <w:sz w:val="16"/>
        </w:rPr>
        <w:t>A 500+ company needs a simple escalation map that reduces founder/executive dependency without introducing corporate theater.</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187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Design area</w:t>
            </w:r>
          </w:p>
        </w:tc>
        <w:tc>
          <w:tcPr>
            <w:tcW w:type="dxa" w:w="460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500+ version</w:t>
            </w:r>
          </w:p>
        </w:tc>
        <w:tc>
          <w:tcPr>
            <w:tcW w:type="dxa" w:w="345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Minimum standard</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Primary problem</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still moves through founders, executives, strong operators, Slack/Teams, and informal urgency</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Create a simple escalation ladder before work becomes personality-driven</w:t>
            </w:r>
          </w:p>
        </w:tc>
      </w:tr>
      <w:tr>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Authority model</w:t>
            </w:r>
          </w:p>
        </w:tc>
        <w:tc>
          <w:tcPr>
            <w:tcW w:type="dxa" w:w="460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Three-tier path: team, functional/cross-functional owner, executive sponsor</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Keep it light but explicit</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Owner standard</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Every escalation has a reporter, escalation owner, resolution owner, and decision owner if a decision is needed</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One owner per path</w:t>
            </w:r>
          </w:p>
        </w:tc>
      </w:tr>
      <w:tr>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Evidence standard</w:t>
            </w:r>
          </w:p>
        </w:tc>
        <w:tc>
          <w:tcPr>
            <w:tcW w:type="dxa" w:w="460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Short issue brief: trigger, impact, owner, blocker, options, and recommendation</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No escalation without facts</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Communication path</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Single escalation channel or page connected to work system and leadership rhythm</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Avoid side-channel chaos</w:t>
            </w:r>
          </w:p>
        </w:tc>
      </w:tr>
      <w:tr>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trigger</w:t>
            </w:r>
          </w:p>
        </w:tc>
        <w:tc>
          <w:tcPr>
            <w:tcW w:type="dxa" w:w="460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Any AI pilot touching customers, employees, data, controls, or external commitments escalates to named owner</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must not bypass ownership</w:t>
            </w:r>
          </w:p>
        </w:tc>
      </w:tr>
    </w:tbl>
    <w:p>
      <w:pPr>
        <w:spacing w:after="20"/>
      </w:pPr>
    </w:p>
    <w:p>
      <w:pPr>
        <w:spacing w:after="60" w:before="0"/>
      </w:pPr>
      <w:r>
        <w:rPr>
          <w:rFonts w:ascii="Aptos" w:hAnsi="Aptos" w:eastAsia="Aptos"/>
          <w:b/>
          <w:color w:val="1B1C19"/>
          <w:sz w:val="16"/>
        </w:rPr>
        <w:t>500+ design principle: make escalation visible without creating bureaucracy. The goal is one clear path from issue to owner to decision.</w:t>
      </w:r>
    </w:p>
    <w:p>
      <w:r>
        <w:br w:type="page"/>
      </w:r>
    </w:p>
    <w:p>
      <w:pPr>
        <w:spacing w:before="200" w:after="80"/>
      </w:pPr>
      <w:r>
        <w:rPr>
          <w:rFonts w:ascii="Aptos" w:hAnsi="Aptos" w:eastAsia="Aptos"/>
          <w:b/>
          <w:color w:val="1B1C19"/>
          <w:sz w:val="30"/>
        </w:rPr>
        <w:t>11. Version B - 5,000+ employee company</w:t>
      </w:r>
    </w:p>
    <w:p>
      <w:pPr>
        <w:spacing w:after="60" w:before="0"/>
      </w:pPr>
      <w:r>
        <w:rPr>
          <w:rFonts w:ascii="Aptos" w:hAnsi="Aptos" w:eastAsia="Aptos"/>
          <w:b w:val="0"/>
          <w:color w:val="1B1C19"/>
          <w:sz w:val="16"/>
        </w:rPr>
        <w:t>A 5,000+ company needs escalation paths that cross functions, platforms, products, vendors, data teams, and governance forums without losing accountability.</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187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Design area</w:t>
            </w:r>
          </w:p>
        </w:tc>
        <w:tc>
          <w:tcPr>
            <w:tcW w:type="dxa" w:w="460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5,000+ version</w:t>
            </w:r>
          </w:p>
        </w:tc>
        <w:tc>
          <w:tcPr>
            <w:tcW w:type="dxa" w:w="345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Minimum standard</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Primary problem</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Escalations cross functions, platforms, products, vendors, data teams, and governance forums</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Separate delivery escalation from authority escalation</w:t>
            </w:r>
          </w:p>
        </w:tc>
      </w:tr>
      <w:tr>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Authority model</w:t>
            </w:r>
          </w:p>
        </w:tc>
        <w:tc>
          <w:tcPr>
            <w:tcW w:type="dxa" w:w="460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Five-tier model: team, function, cross-functional, executive, enterprise control</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Map escalation to decision rights and materiality</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Owner standard</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owner, resolution owner, decision owner, control owner, communication owner, and AI boundary owner where needed</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Role separation reduces noise and drift</w:t>
            </w:r>
          </w:p>
        </w:tc>
      </w:tr>
      <w:tr>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Evidence standard</w:t>
            </w:r>
          </w:p>
        </w:tc>
        <w:tc>
          <w:tcPr>
            <w:tcW w:type="dxa" w:w="460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Structured escalation record with dependency map, impact analysis, decision needed, options, control review, and SLA</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Escalations must be reviewable</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Communication path</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register connected to Jira, ServiceNow, Teams/Slack, governance forums, and decision log</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Status must not live in meetings only</w:t>
            </w:r>
          </w:p>
        </w:tc>
      </w:tr>
      <w:tr>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trigger</w:t>
            </w:r>
          </w:p>
        </w:tc>
        <w:tc>
          <w:tcPr>
            <w:tcW w:type="dxa" w:w="460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routing, recommendation, automation, or agent action requires severity path, override path, and control owner</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escalation becomes part of operating control</w:t>
            </w:r>
          </w:p>
        </w:tc>
      </w:tr>
    </w:tbl>
    <w:p>
      <w:pPr>
        <w:spacing w:after="20"/>
      </w:pPr>
    </w:p>
    <w:p>
      <w:pPr>
        <w:spacing w:after="60" w:before="0"/>
      </w:pPr>
      <w:r>
        <w:rPr>
          <w:rFonts w:ascii="Aptos" w:hAnsi="Aptos" w:eastAsia="Aptos"/>
          <w:b/>
          <w:color w:val="1B1C19"/>
          <w:sz w:val="16"/>
        </w:rPr>
        <w:t>5,000+ design principle: separate delivery escalation from authority escalation and connect both to decision rights, controls, and AI boundaries.</w:t>
      </w:r>
    </w:p>
    <w:p>
      <w:pPr>
        <w:spacing w:before="200" w:after="80"/>
      </w:pPr>
      <w:r>
        <w:rPr>
          <w:rFonts w:ascii="Aptos" w:hAnsi="Aptos" w:eastAsia="Aptos"/>
          <w:b/>
          <w:color w:val="1B1C19"/>
          <w:sz w:val="30"/>
        </w:rPr>
        <w:t>12. Version C - 10,000+ employee company</w:t>
      </w:r>
    </w:p>
    <w:p>
      <w:pPr>
        <w:spacing w:after="60" w:before="0"/>
      </w:pPr>
      <w:r>
        <w:rPr>
          <w:rFonts w:ascii="Aptos" w:hAnsi="Aptos" w:eastAsia="Aptos"/>
          <w:b w:val="0"/>
          <w:color w:val="1B1C19"/>
          <w:sz w:val="16"/>
        </w:rPr>
        <w:t>A 10,000+ company needs federated escalation paths that preserve local speed while centralizing memory, controls, auditability, and AI boundary enforcement.</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187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Design area</w:t>
            </w:r>
          </w:p>
        </w:tc>
        <w:tc>
          <w:tcPr>
            <w:tcW w:type="dxa" w:w="460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10,000+ version</w:t>
            </w:r>
          </w:p>
        </w:tc>
        <w:tc>
          <w:tcPr>
            <w:tcW w:type="dxa" w:w="345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Minimum standard</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Primary problem</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Escalation fragments by BU, region, legal entity, platform, risk type, governance forum, and executive structure</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Federate escalation locally while centralizing memory, controls, and AI boundaries</w:t>
            </w:r>
          </w:p>
        </w:tc>
      </w:tr>
      <w:tr>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Authority model</w:t>
            </w:r>
          </w:p>
        </w:tc>
        <w:tc>
          <w:tcPr>
            <w:tcW w:type="dxa" w:w="460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Six-tier model including enterprise reserved, board, regulator, and external commitment paths</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Support local speed and enterprise control</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Owner standard</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Escalation owner, resolution owner, decision owner, control owner, executive sponsor, legal/entity owner, communication owner, AI boundary owner, and value owner where needed</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Complexity requires formal role separation</w:t>
            </w:r>
          </w:p>
        </w:tc>
      </w:tr>
    </w:tbl>
    <w:p>
      <w:pPr>
        <w:spacing w:after="20"/>
      </w:pPr>
    </w:p>
    <w:p>
      <w:r>
        <w:br w:type="page"/>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187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Design area</w:t>
            </w:r>
          </w:p>
        </w:tc>
        <w:tc>
          <w:tcPr>
            <w:tcW w:type="dxa" w:w="460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10,000+ version</w:t>
            </w:r>
          </w:p>
        </w:tc>
        <w:tc>
          <w:tcPr>
            <w:tcW w:type="dxa" w:w="345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Minimum standard</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Evidence standard</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Formal evidence pack for regulated, customer-impacting, employee-impacting, platform, data, model, or AI-autonomous events</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Replayable evidence is mandatory</w:t>
            </w:r>
          </w:p>
        </w:tc>
      </w:tr>
      <w:tr>
        <w:tc>
          <w:tcPr>
            <w:tcW w:type="dxa" w:w="18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Communication path</w:t>
            </w:r>
          </w:p>
        </w:tc>
        <w:tc>
          <w:tcPr>
            <w:tcW w:type="dxa" w:w="460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Enterprise escalation registry with links to decision memory, risk system, audit evidence, operating model map, and incident record</w:t>
            </w:r>
          </w:p>
        </w:tc>
        <w:tc>
          <w:tcPr>
            <w:tcW w:type="dxa" w:w="345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No hidden executive escalation paths</w:t>
            </w:r>
          </w:p>
        </w:tc>
      </w:tr>
      <w:tr>
        <w:tc>
          <w:tcPr>
            <w:tcW w:type="dxa" w:w="18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AI trigger</w:t>
            </w:r>
          </w:p>
        </w:tc>
        <w:tc>
          <w:tcPr>
            <w:tcW w:type="dxa" w:w="460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Autonomous or semi-autonomous AI events require stop control, incident path, governance review, and supersession of failed authority logic</w:t>
            </w:r>
          </w:p>
        </w:tc>
        <w:tc>
          <w:tcPr>
            <w:tcW w:type="dxa" w:w="345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AI authority must be explicit and revocable</w:t>
            </w:r>
          </w:p>
        </w:tc>
      </w:tr>
    </w:tbl>
    <w:p>
      <w:pPr>
        <w:spacing w:after="20"/>
      </w:pPr>
    </w:p>
    <w:p>
      <w:pPr>
        <w:spacing w:after="60" w:before="0"/>
      </w:pPr>
      <w:r>
        <w:rPr>
          <w:rFonts w:ascii="Aptos" w:hAnsi="Aptos" w:eastAsia="Aptos"/>
          <w:b/>
          <w:color w:val="1B1C19"/>
          <w:sz w:val="16"/>
        </w:rPr>
        <w:t>10,000+ design principle: federate escalation paths locally while centralizing memory, controls, and AI boundary enforcement.</w:t>
      </w:r>
    </w:p>
    <w:p>
      <w:pPr>
        <w:spacing w:before="200" w:after="80"/>
      </w:pPr>
      <w:r>
        <w:rPr>
          <w:rFonts w:ascii="Aptos" w:hAnsi="Aptos" w:eastAsia="Aptos"/>
          <w:b/>
          <w:color w:val="1B1C19"/>
          <w:sz w:val="30"/>
        </w:rPr>
        <w:t>13. Escalation map template</w:t>
      </w:r>
    </w:p>
    <w:p>
      <w:pPr>
        <w:spacing w:after="60" w:before="0"/>
      </w:pPr>
      <w:r>
        <w:rPr>
          <w:rFonts w:ascii="Aptos" w:hAnsi="Aptos" w:eastAsia="Aptos"/>
          <w:b w:val="0"/>
          <w:color w:val="1B1C19"/>
          <w:sz w:val="16"/>
        </w:rPr>
        <w:t>Use this template to create a reusable escalation path for a decision, workflow, platform, control, AI initiative, or operating-model domain.</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16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Field</w:t>
            </w:r>
          </w:p>
        </w:tc>
        <w:tc>
          <w:tcPr>
            <w:tcW w:type="dxa" w:w="201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Value</w:t>
            </w:r>
          </w:p>
        </w:tc>
        <w:tc>
          <w:tcPr>
            <w:tcW w:type="dxa" w:w="590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Instruction</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Escalation ID</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Unique identifier for the escalation record</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Category</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Decision conflict, ownership gap, dependency, control exception, AI event, customer impact, platform risk, data risk</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Trigger condition</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What threshold, policy, decision, dependency, or boundary was breached?</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Severity tier</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Tier 0 through Tier 5</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Business impact</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Customer, employee, revenue, cost, regulatory, platform, data, or AI impact</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Affected decision / owner</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Decision, owner, system, process, data object, or AI workflow affected</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Escalation owner</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One accountable owner for movement to resolution</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Resolution owner</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Who fixes the issue or implements the decision?</w:t>
            </w:r>
          </w:p>
        </w:tc>
      </w:tr>
    </w:tbl>
    <w:p>
      <w:pPr>
        <w:spacing w:after="20"/>
      </w:pPr>
    </w:p>
    <w:p>
      <w:r>
        <w:br w:type="page"/>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16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Field</w:t>
            </w:r>
          </w:p>
        </w:tc>
        <w:tc>
          <w:tcPr>
            <w:tcW w:type="dxa" w:w="201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Value</w:t>
            </w:r>
          </w:p>
        </w:tc>
        <w:tc>
          <w:tcPr>
            <w:tcW w:type="dxa" w:w="590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3"/>
              </w:rPr>
              <w:t>Instruction</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Control owner</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Required for material risk, security, privacy, legal, model risk, audit, or compliance exposure</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AI boundary owner</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Required when AI is involved</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Evidence attached</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Facts, metrics, logs, screenshots, decision record, policy, data lineage, AI output, or impact analysis</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SLA / response time</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First response, decision time, resolution time, and review cadence</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Communication path</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Where status is posted and who must be informed</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Decision log link</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Required when escalation creates, changes, or supersedes a material decision</w:t>
            </w:r>
          </w:p>
        </w:tc>
      </w:tr>
      <w:tr>
        <w:tc>
          <w:tcPr>
            <w:tcW w:type="dxa" w:w="216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Status</w:t>
            </w:r>
          </w:p>
        </w:tc>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Open, triaged, escalated, decision pending, resolving, blocked, resolved, superseded, or closed</w:t>
            </w:r>
          </w:p>
        </w:tc>
      </w:tr>
      <w:tr>
        <w:tc>
          <w:tcPr>
            <w:tcW w:type="dxa" w:w="216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Review date</w:t>
            </w:r>
          </w:p>
        </w:tc>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r>
          </w:p>
        </w:tc>
        <w:tc>
          <w:tcPr>
            <w:tcW w:type="dxa" w:w="59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3"/>
              </w:rPr>
              <w:t>When root cause and operating-model correction will be reviewed</w:t>
            </w:r>
          </w:p>
        </w:tc>
      </w:tr>
    </w:tbl>
    <w:p>
      <w:pPr>
        <w:spacing w:after="20"/>
      </w:pPr>
    </w:p>
    <w:p>
      <w:pPr>
        <w:spacing w:before="200" w:after="80"/>
      </w:pPr>
      <w:r>
        <w:rPr>
          <w:rFonts w:ascii="Aptos" w:hAnsi="Aptos" w:eastAsia="Aptos"/>
          <w:b/>
          <w:color w:val="1B1C19"/>
          <w:sz w:val="30"/>
        </w:rPr>
        <w:t>14. AI escalation boundary levels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1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Level</w:t>
            </w:r>
          </w:p>
        </w:tc>
        <w:tc>
          <w:tcPr>
            <w:tcW w:type="dxa" w:w="547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Escalation rule</w:t>
            </w:r>
          </w:p>
        </w:tc>
        <w:tc>
          <w:tcPr>
            <w:tcW w:type="dxa" w:w="259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Human accountability</w:t>
            </w:r>
          </w:p>
        </w:tc>
      </w:tr>
      <w:tr>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Level 0 - No AI</w:t>
            </w:r>
          </w:p>
        </w:tc>
        <w:tc>
          <w:tcPr>
            <w:tcW w:type="dxa" w:w="54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Normal escalation rules apply</w:t>
            </w:r>
          </w:p>
        </w:tc>
        <w:tc>
          <w:tcPr>
            <w:tcW w:type="dxa" w:w="259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No AI-specific boundary owner required</w:t>
            </w:r>
          </w:p>
        </w:tc>
      </w:tr>
      <w:tr>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Level 1 - AI drafts or summarizes</w:t>
            </w:r>
          </w:p>
        </w:tc>
        <w:tc>
          <w:tcPr>
            <w:tcW w:type="dxa" w:w="54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Escalate if AI output changes meaning, omits material evidence, or creates decision confusion</w:t>
            </w:r>
          </w:p>
        </w:tc>
        <w:tc>
          <w:tcPr>
            <w:tcW w:type="dxa" w:w="259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owner validates final record</w:t>
            </w:r>
          </w:p>
        </w:tc>
      </w:tr>
      <w:tr>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Level 2 - AI recommends</w:t>
            </w:r>
          </w:p>
        </w:tc>
        <w:tc>
          <w:tcPr>
            <w:tcW w:type="dxa" w:w="54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Escalate if recommendation conflicts with policy, evidence, owner authority, or risk tier</w:t>
            </w:r>
          </w:p>
        </w:tc>
        <w:tc>
          <w:tcPr>
            <w:tcW w:type="dxa" w:w="259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Decider and control owner review when material</w:t>
            </w:r>
          </w:p>
        </w:tc>
      </w:tr>
      <w:tr>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Level 3 - AI routes or triggers workflow</w:t>
            </w:r>
          </w:p>
        </w:tc>
        <w:tc>
          <w:tcPr>
            <w:tcW w:type="dxa" w:w="54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Escalate if routing logic misclassifies severity, owner, system, dependency, or audience</w:t>
            </w:r>
          </w:p>
        </w:tc>
        <w:tc>
          <w:tcPr>
            <w:tcW w:type="dxa" w:w="259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Process owner and AI boundary owner approve changes</w:t>
            </w:r>
          </w:p>
        </w:tc>
      </w:tr>
      <w:tr>
        <w:tc>
          <w:tcPr>
            <w:tcW w:type="dxa" w:w="201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Level 4 - AI executes with approval</w:t>
            </w:r>
          </w:p>
        </w:tc>
        <w:tc>
          <w:tcPr>
            <w:tcW w:type="dxa" w:w="547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Escalate if approval path is bypassed, evidence is weak, or action creates downstream risk</w:t>
            </w:r>
          </w:p>
        </w:tc>
        <w:tc>
          <w:tcPr>
            <w:tcW w:type="dxa" w:w="259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boundary owner and control owner own stop path</w:t>
            </w:r>
          </w:p>
        </w:tc>
      </w:tr>
      <w:tr>
        <w:tc>
          <w:tcPr>
            <w:tcW w:type="dxa" w:w="201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Level 5 - Autonomous AI</w:t>
            </w:r>
          </w:p>
        </w:tc>
        <w:tc>
          <w:tcPr>
            <w:tcW w:type="dxa" w:w="547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Immediate escalation for unexpected action, boundary breach, customer impact, regulated exposure, or control failure</w:t>
            </w:r>
          </w:p>
        </w:tc>
        <w:tc>
          <w:tcPr>
            <w:tcW w:type="dxa" w:w="259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Executive owner, AI boundary owner, and control owner accountable</w:t>
            </w:r>
          </w:p>
        </w:tc>
      </w:tr>
    </w:tbl>
    <w:p>
      <w:pPr>
        <w:spacing w:after="20"/>
      </w:pPr>
    </w:p>
    <w:p>
      <w:r>
        <w:br w:type="page"/>
      </w:r>
    </w:p>
    <w:p>
      <w:pPr>
        <w:spacing w:before="200" w:after="80"/>
      </w:pPr>
      <w:r>
        <w:rPr>
          <w:rFonts w:ascii="Aptos" w:hAnsi="Aptos" w:eastAsia="Aptos"/>
          <w:b/>
          <w:color w:val="1B1C19"/>
          <w:sz w:val="30"/>
        </w:rPr>
        <w:t>15. Validation rules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Validation condition</w:t>
            </w:r>
          </w:p>
        </w:tc>
        <w:tc>
          <w:tcPr>
            <w:tcW w:type="dxa" w:w="3168"/>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System response</w:t>
            </w:r>
          </w:p>
        </w:tc>
        <w:tc>
          <w:tcPr>
            <w:tcW w:type="dxa" w:w="4032"/>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Reason</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No escalation owner</w:t>
            </w:r>
          </w:p>
        </w:tc>
        <w:tc>
          <w:tcPr>
            <w:tcW w:type="dxa" w:w="316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Block escalation record approval</w:t>
            </w:r>
          </w:p>
        </w:tc>
        <w:tc>
          <w:tcPr>
            <w:tcW w:type="dxa" w:w="403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without ownership becomes noise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No resolution owner</w:t>
            </w:r>
          </w:p>
        </w:tc>
        <w:tc>
          <w:tcPr>
            <w:tcW w:type="dxa" w:w="316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Flag unresolved issue risk</w:t>
            </w:r>
          </w:p>
        </w:tc>
        <w:tc>
          <w:tcPr>
            <w:tcW w:type="dxa" w:w="403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must lead to a fix, decision, or closure</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Severity tier missing</w:t>
            </w:r>
          </w:p>
        </w:tc>
        <w:tc>
          <w:tcPr>
            <w:tcW w:type="dxa" w:w="316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Require classification</w:t>
            </w:r>
          </w:p>
        </w:tc>
        <w:tc>
          <w:tcPr>
            <w:tcW w:type="dxa" w:w="403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Response path depends on consequence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Material escalation without control owner</w:t>
            </w:r>
          </w:p>
        </w:tc>
        <w:tc>
          <w:tcPr>
            <w:tcW w:type="dxa" w:w="316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Escalate to governance/control path</w:t>
            </w:r>
          </w:p>
        </w:tc>
        <w:tc>
          <w:tcPr>
            <w:tcW w:type="dxa" w:w="403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Risk-bearing issues need control ownership</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involved but no AI boundary owner</w:t>
            </w:r>
          </w:p>
        </w:tc>
        <w:tc>
          <w:tcPr>
            <w:tcW w:type="dxa" w:w="316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Block AI workflow or escalate immediately</w:t>
            </w:r>
          </w:p>
        </w:tc>
        <w:tc>
          <w:tcPr>
            <w:tcW w:type="dxa" w:w="403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authority must have a human accountable owner</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No evidence attached</w:t>
            </w:r>
          </w:p>
        </w:tc>
        <w:tc>
          <w:tcPr>
            <w:tcW w:type="dxa" w:w="316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Return to submitter</w:t>
            </w:r>
          </w:p>
        </w:tc>
        <w:tc>
          <w:tcPr>
            <w:tcW w:type="dxa" w:w="403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Escalations need facts, not opinions</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 open past SLA</w:t>
            </w:r>
          </w:p>
        </w:tc>
        <w:tc>
          <w:tcPr>
            <w:tcW w:type="dxa" w:w="316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Auto-escalate to next tier</w:t>
            </w:r>
          </w:p>
        </w:tc>
        <w:tc>
          <w:tcPr>
            <w:tcW w:type="dxa" w:w="403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Stale escalation creates operating drag</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created but not logged</w:t>
            </w:r>
          </w:p>
        </w:tc>
        <w:tc>
          <w:tcPr>
            <w:tcW w:type="dxa" w:w="3168"/>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Require Decision Log entry</w:t>
            </w:r>
          </w:p>
        </w:tc>
        <w:tc>
          <w:tcPr>
            <w:tcW w:type="dxa" w:w="4032"/>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Material decisions must become operating memory</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Same issue recurs repeatedly</w:t>
            </w:r>
          </w:p>
        </w:tc>
        <w:tc>
          <w:tcPr>
            <w:tcW w:type="dxa" w:w="3168"/>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Create operating-model correction</w:t>
            </w:r>
          </w:p>
        </w:tc>
        <w:tc>
          <w:tcPr>
            <w:tcW w:type="dxa" w:w="4032"/>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Repeated escalation indicates structural failure</w:t>
            </w:r>
          </w:p>
        </w:tc>
      </w:tr>
    </w:tbl>
    <w:p>
      <w:pPr>
        <w:spacing w:after="20"/>
      </w:pPr>
    </w:p>
    <w:p>
      <w:pPr>
        <w:spacing w:before="200" w:after="80"/>
      </w:pPr>
      <w:r>
        <w:rPr>
          <w:rFonts w:ascii="Aptos" w:hAnsi="Aptos" w:eastAsia="Aptos"/>
          <w:b/>
          <w:color w:val="1B1C19"/>
          <w:sz w:val="30"/>
        </w:rPr>
        <w:t>16. Mapping rules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Connected LPM object</w:t>
            </w:r>
          </w:p>
        </w:tc>
        <w:tc>
          <w:tcPr>
            <w:tcW w:type="dxa" w:w="720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Escalation Map mapping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Ownership Map</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Affected owner, escalation owner, resolution owner, control owner, and AI boundary owner must map to named ownership.</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Rights Model</w:t>
            </w:r>
          </w:p>
        </w:tc>
        <w:tc>
          <w:tcPr>
            <w:tcW w:type="dxa" w:w="720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Severity tier and authority path must match decision materiality and rights.</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Rights Matrix</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Escalated decision must map to decider, recommender, consulted, informed, implementation owner, and control owner.</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Decision Log</w:t>
            </w:r>
          </w:p>
        </w:tc>
        <w:tc>
          <w:tcPr>
            <w:tcW w:type="dxa" w:w="720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Material escalations that create, change, or supersede decisions must be logged.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 Initiative Owner Register</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AI-related escalations map to initiative owner, value owner, control owner, and AI boundary owner.</w:t>
            </w:r>
          </w:p>
        </w:tc>
      </w:tr>
    </w:tbl>
    <w:p>
      <w:pPr>
        <w:spacing w:after="20"/>
      </w:pPr>
    </w:p>
    <w:p>
      <w:r>
        <w:br w:type="page"/>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Connected LPM object</w:t>
            </w:r>
          </w:p>
        </w:tc>
        <w:tc>
          <w:tcPr>
            <w:tcW w:type="dxa" w:w="7200"/>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Escalation Map mapping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Incentive Alignment Checklist</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Recurring escalations may reveal incentives that reward local optimization, delay, risk hiding, or unclear ownership.</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Information Ecology</w:t>
            </w:r>
          </w:p>
        </w:tc>
        <w:tc>
          <w:tcPr>
            <w:tcW w:type="dxa" w:w="720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Escalations tied to bad data, missing lineage, stale evidence, or conflicting definitions map to information health.</w:t>
            </w:r>
          </w:p>
        </w:tc>
      </w:tr>
      <w:tr>
        <w:tc>
          <w:tcPr>
            <w:tcW w:type="dxa" w:w="288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Platform Structure</w:t>
            </w:r>
          </w:p>
        </w:tc>
        <w:tc>
          <w:tcPr>
            <w:tcW w:type="dxa" w:w="7200"/>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System, workflow, integration, and vendor escalations map to platform owners and operational controls.</w:t>
            </w:r>
          </w:p>
        </w:tc>
      </w:tr>
      <w:tr>
        <w:tc>
          <w:tcPr>
            <w:tcW w:type="dxa" w:w="288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Governance Architecture</w:t>
            </w:r>
          </w:p>
        </w:tc>
        <w:tc>
          <w:tcPr>
            <w:tcW w:type="dxa" w:w="7200"/>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Control exceptions, audit exposure, regulatory paths, policy violations, and risk decisions map to governance owners.</w:t>
            </w:r>
          </w:p>
        </w:tc>
      </w:tr>
    </w:tbl>
    <w:p>
      <w:pPr>
        <w:spacing w:after="20"/>
      </w:pPr>
    </w:p>
    <w:p>
      <w:pPr>
        <w:spacing w:before="200" w:after="80"/>
      </w:pPr>
      <w:r>
        <w:rPr>
          <w:rFonts w:ascii="Aptos" w:hAnsi="Aptos" w:eastAsia="Aptos"/>
          <w:b/>
          <w:color w:val="1B1C19"/>
          <w:sz w:val="30"/>
        </w:rPr>
        <w:t>17. AI prompts for the guided skill</w:t>
      </w:r>
    </w:p>
    <w:p>
      <w:pPr>
        <w:pStyle w:val="ListBullet"/>
        <w:spacing w:after="30"/>
      </w:pPr>
      <w:r>
        <w:rPr>
          <w:rFonts w:ascii="Aptos" w:hAnsi="Aptos" w:eastAsia="Aptos"/>
          <w:color w:val="1B1C19"/>
          <w:sz w:val="17"/>
        </w:rPr>
        <w:t>Classify this escalation by category, severity tier, affected LPM layer, owner gap, evidence quality, and decision path.</w:t>
      </w:r>
    </w:p>
    <w:p>
      <w:pPr>
        <w:pStyle w:val="ListBullet"/>
        <w:spacing w:after="30"/>
      </w:pPr>
      <w:r>
        <w:rPr>
          <w:rFonts w:ascii="Aptos" w:hAnsi="Aptos" w:eastAsia="Aptos"/>
          <w:color w:val="1B1C19"/>
          <w:sz w:val="17"/>
        </w:rPr>
        <w:t>Identify whether this issue should stay local, move to a functional owner, escalate cross-functionally, or become an executive or enterprise-control decision.</w:t>
      </w:r>
    </w:p>
    <w:p>
      <w:pPr>
        <w:pStyle w:val="ListBullet"/>
        <w:spacing w:after="30"/>
      </w:pPr>
      <w:r>
        <w:rPr>
          <w:rFonts w:ascii="Aptos" w:hAnsi="Aptos" w:eastAsia="Aptos"/>
          <w:color w:val="1B1C19"/>
          <w:sz w:val="17"/>
        </w:rPr>
        <w:t>Detect missing roles: escalation owner, resolution owner, decision owner, control owner, communication owner, and AI boundary owner.</w:t>
      </w:r>
    </w:p>
    <w:p>
      <w:pPr>
        <w:pStyle w:val="ListBullet"/>
        <w:spacing w:after="30"/>
      </w:pPr>
      <w:r>
        <w:rPr>
          <w:rFonts w:ascii="Aptos" w:hAnsi="Aptos" w:eastAsia="Aptos"/>
          <w:color w:val="1B1C19"/>
          <w:sz w:val="17"/>
        </w:rPr>
        <w:t>Determine whether this escalation requires a Decision Log entry, Ownership Map update, risk record, AI initiative update, or governance review.</w:t>
      </w:r>
    </w:p>
    <w:p>
      <w:pPr>
        <w:pStyle w:val="ListBullet"/>
        <w:spacing w:after="30"/>
      </w:pPr>
      <w:r>
        <w:rPr>
          <w:rFonts w:ascii="Aptos" w:hAnsi="Aptos" w:eastAsia="Aptos"/>
          <w:color w:val="1B1C19"/>
          <w:sz w:val="17"/>
        </w:rPr>
        <w:t>Summarize the escalation into an executive-ready brief with trigger, impact, options, recommendation, owner, SLA, and next decision needed.</w:t>
      </w:r>
    </w:p>
    <w:p>
      <w:pPr>
        <w:pStyle w:val="ListBullet"/>
        <w:spacing w:after="30"/>
      </w:pPr>
      <w:r>
        <w:rPr>
          <w:rFonts w:ascii="Aptos" w:hAnsi="Aptos" w:eastAsia="Aptos"/>
          <w:color w:val="1B1C19"/>
          <w:sz w:val="17"/>
        </w:rPr>
        <w:t>Identify repeated escalations that indicate a structural operating-model failure rather than a one-off delivery issue.</w:t>
      </w:r>
    </w:p>
    <w:p>
      <w:pPr>
        <w:pStyle w:val="ListBullet"/>
        <w:spacing w:after="30"/>
      </w:pPr>
      <w:r>
        <w:rPr>
          <w:rFonts w:ascii="Aptos" w:hAnsi="Aptos" w:eastAsia="Aptos"/>
          <w:color w:val="1B1C19"/>
          <w:sz w:val="17"/>
        </w:rPr>
        <w:t>Generate the correct escalation map version for a 500+, 5,000+, or 10,000+ employee company.</w:t>
      </w:r>
    </w:p>
    <w:p>
      <w:pPr>
        <w:spacing w:before="200" w:after="80"/>
      </w:pPr>
      <w:r>
        <w:rPr>
          <w:rFonts w:ascii="Aptos" w:hAnsi="Aptos" w:eastAsia="Aptos"/>
          <w:b/>
          <w:color w:val="1B1C19"/>
          <w:sz w:val="30"/>
        </w:rPr>
        <w:t>18. Render outputs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04"/>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Output</w:t>
            </w:r>
          </w:p>
        </w:tc>
        <w:tc>
          <w:tcPr>
            <w:tcW w:type="dxa" w:w="7776"/>
            <w:shd w:fill="2D3924"/>
            <w:tcBorders>
              <w:top w:val="single" w:sz="4" w:space="0" w:color="E2DFD7"/>
              <w:left w:val="single" w:sz="4" w:space="0" w:color="E2DFD7"/>
              <w:bottom w:val="single" w:sz="4" w:space="0" w:color="E2DFD7"/>
              <w:right w:val="single" w:sz="4" w:space="0" w:color="E2DFD7"/>
            </w:tcBorders>
            <w:tcMar>
              <w:top w:w="70" w:type="dxa"/>
              <w:start w:w="70" w:type="dxa"/>
              <w:bottom w:w="70" w:type="dxa"/>
              <w:end w:w="70" w:type="dxa"/>
            </w:tcMar>
            <w:vAlign w:val="center"/>
          </w:tcPr>
          <w:p>
            <w:pPr>
              <w:spacing w:after="0"/>
            </w:pPr>
            <w:r>
              <w:rPr>
                <w:rFonts w:ascii="Aptos" w:hAnsi="Aptos" w:eastAsia="Aptos"/>
                <w:b/>
                <w:color w:val="FFFFFF"/>
                <w:sz w:val="14"/>
              </w:rPr>
              <w:t>Use</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Word document</w:t>
            </w:r>
          </w:p>
        </w:tc>
        <w:tc>
          <w:tcPr>
            <w:tcW w:type="dxa" w:w="777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Workshop, consulting, operating-model design, internal enablement, website download</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PDF guide</w:t>
            </w:r>
          </w:p>
        </w:tc>
        <w:tc>
          <w:tcPr>
            <w:tcW w:type="dxa" w:w="777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Executive education, briefing, governance design, AI readiness</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Website page</w:t>
            </w:r>
          </w:p>
        </w:tc>
        <w:tc>
          <w:tcPr>
            <w:tcW w:type="dxa" w:w="777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Downloadable resource and educational landing page</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Interactive form</w:t>
            </w:r>
          </w:p>
        </w:tc>
        <w:tc>
          <w:tcPr>
            <w:tcW w:type="dxa" w:w="777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Guided escalation intake and triage</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CSV import</w:t>
            </w:r>
          </w:p>
        </w:tc>
        <w:tc>
          <w:tcPr>
            <w:tcW w:type="dxa" w:w="777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Bulk import of escalation paths, triggers, and SLAs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JSON object</w:t>
            </w:r>
          </w:p>
        </w:tc>
        <w:tc>
          <w:tcPr>
            <w:tcW w:type="dxa" w:w="7776"/>
            <w:shd w:fill="F0EEE9"/>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Lapemo ingestion, scoring, validation, and automation rules</w:t>
            </w:r>
          </w:p>
        </w:tc>
      </w:tr>
      <w:tr>
        <w:tc>
          <w:tcPr>
            <w:tcW w:type="dxa" w:w="2304"/>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In-app workflow</w:t>
            </w:r>
          </w:p>
        </w:tc>
        <w:tc>
          <w:tcPr>
            <w:tcW w:type="dxa" w:w="7776"/>
            <w:shd w:fill="FFFFFF"/>
            <w:tcBorders>
              <w:top w:val="single" w:sz="4" w:space="0" w:color="E2DFD7"/>
              <w:left w:val="single" w:sz="4" w:space="0" w:color="E2DFD7"/>
              <w:bottom w:val="single" w:sz="4" w:space="0" w:color="E2DFD7"/>
              <w:right w:val="single" w:sz="4" w:space="0" w:color="E2DFD7"/>
            </w:tcBorders>
            <w:tcMar>
              <w:top w:w="65" w:type="dxa"/>
              <w:start w:w="65" w:type="dxa"/>
              <w:bottom w:w="65" w:type="dxa"/>
              <w:end w:w="65" w:type="dxa"/>
            </w:tcMar>
            <w:vAlign w:val="top"/>
          </w:tcPr>
          <w:p>
            <w:pPr>
              <w:spacing w:after="0"/>
            </w:pPr>
            <w:r>
              <w:rPr>
                <w:rFonts w:ascii="Aptos" w:hAnsi="Aptos" w:eastAsia="Aptos"/>
                <w:color w:val="1B1C19"/>
                <w:sz w:val="14"/>
              </w:rPr>
              <w:t>Live escalation routing, escalation health, AI event triage, and operating-model correction</w:t>
            </w:r>
          </w:p>
        </w:tc>
      </w:tr>
    </w:tbl>
    <w:p>
      <w:pPr>
        <w:spacing w:after="20"/>
      </w:pPr>
    </w:p>
    <w:p>
      <w:r>
        <w:br w:type="page"/>
      </w:r>
    </w:p>
    <w:p>
      <w:pPr>
        <w:spacing w:before="200" w:after="80"/>
      </w:pPr>
      <w:r>
        <w:rPr>
          <w:rFonts w:ascii="Aptos" w:hAnsi="Aptos" w:eastAsia="Aptos"/>
          <w:b/>
          <w:color w:val="1B1C19"/>
          <w:sz w:val="30"/>
        </w:rPr>
        <w:t>19. Review and update triggers</w:t>
      </w:r>
    </w:p>
    <w:p>
      <w:pPr>
        <w:pStyle w:val="ListBullet"/>
        <w:spacing w:after="30"/>
      </w:pPr>
      <w:r>
        <w:rPr>
          <w:rFonts w:ascii="Aptos" w:hAnsi="Aptos" w:eastAsia="Aptos"/>
          <w:color w:val="1B1C19"/>
          <w:sz w:val="17"/>
        </w:rPr>
        <w:t>Company crosses a major scale threshold, such as 500, 5,000, or 10,000+ employees.</w:t>
      </w:r>
    </w:p>
    <w:p>
      <w:pPr>
        <w:pStyle w:val="ListBullet"/>
        <w:spacing w:after="30"/>
      </w:pPr>
      <w:r>
        <w:rPr>
          <w:rFonts w:ascii="Aptos" w:hAnsi="Aptos" w:eastAsia="Aptos"/>
          <w:color w:val="1B1C19"/>
          <w:sz w:val="17"/>
        </w:rPr>
        <w:t>Escalations repeatedly bypass formal paths and move through executive side channels.</w:t>
      </w:r>
    </w:p>
    <w:p>
      <w:pPr>
        <w:pStyle w:val="ListBullet"/>
        <w:spacing w:after="30"/>
      </w:pPr>
      <w:r>
        <w:rPr>
          <w:rFonts w:ascii="Aptos" w:hAnsi="Aptos" w:eastAsia="Aptos"/>
          <w:color w:val="1B1C19"/>
          <w:sz w:val="17"/>
        </w:rPr>
        <w:t>An AI workflow, automation, or agent creates a decision, routing, customer, employee, regulatory, or control event.</w:t>
      </w:r>
    </w:p>
    <w:p>
      <w:pPr>
        <w:pStyle w:val="ListBullet"/>
        <w:spacing w:after="30"/>
      </w:pPr>
      <w:r>
        <w:rPr>
          <w:rFonts w:ascii="Aptos" w:hAnsi="Aptos" w:eastAsia="Aptos"/>
          <w:color w:val="1B1C19"/>
          <w:sz w:val="17"/>
        </w:rPr>
        <w:t>A major platform, system of record, vendor, data domain, or governance forum changes.</w:t>
      </w:r>
    </w:p>
    <w:p>
      <w:pPr>
        <w:pStyle w:val="ListBullet"/>
        <w:spacing w:after="30"/>
      </w:pPr>
      <w:r>
        <w:rPr>
          <w:rFonts w:ascii="Aptos" w:hAnsi="Aptos" w:eastAsia="Aptos"/>
          <w:color w:val="1B1C19"/>
          <w:sz w:val="17"/>
        </w:rPr>
        <w:t>A material incident, audit finding, regulatory issue, customer impact, or operating-model failure occurs.</w:t>
      </w:r>
    </w:p>
    <w:p>
      <w:pPr>
        <w:pStyle w:val="ListBullet"/>
        <w:spacing w:after="30"/>
      </w:pPr>
      <w:r>
        <w:rPr>
          <w:rFonts w:ascii="Aptos" w:hAnsi="Aptos" w:eastAsia="Aptos"/>
          <w:color w:val="1B1C19"/>
          <w:sz w:val="17"/>
        </w:rPr>
        <w:t>Escalation SLAs are repeatedly missed or decisions repeatedly stall.</w:t>
      </w:r>
    </w:p>
    <w:p>
      <w:pPr>
        <w:pStyle w:val="ListBullet"/>
        <w:spacing w:after="30"/>
      </w:pPr>
      <w:r>
        <w:rPr>
          <w:rFonts w:ascii="Aptos" w:hAnsi="Aptos" w:eastAsia="Aptos"/>
          <w:color w:val="1B1C19"/>
          <w:sz w:val="17"/>
        </w:rPr>
        <w:t>Ownership, decision rights, or incentives are restructured.</w:t>
      </w:r>
    </w:p>
    <w:p>
      <w:pPr>
        <w:spacing w:before="200" w:after="80"/>
      </w:pPr>
      <w:r>
        <w:rPr>
          <w:rFonts w:ascii="Aptos" w:hAnsi="Aptos" w:eastAsia="Aptos"/>
          <w:b/>
          <w:color w:val="1B1C19"/>
          <w:sz w:val="30"/>
        </w:rPr>
        <w:t>20. Website positioning copy</w:t>
      </w:r>
    </w:p>
    <w:p>
      <w:pPr>
        <w:spacing w:after="60" w:before="0"/>
      </w:pPr>
      <w:r>
        <w:rPr>
          <w:rFonts w:ascii="Aptos" w:hAnsi="Aptos" w:eastAsia="Aptos"/>
          <w:b/>
          <w:color w:val="1B1C19"/>
          <w:sz w:val="20"/>
        </w:rPr>
        <w:t>Escalation Map</w:t>
      </w:r>
    </w:p>
    <w:p>
      <w:pPr>
        <w:spacing w:after="60" w:before="0"/>
      </w:pPr>
      <w:r>
        <w:rPr>
          <w:rFonts w:ascii="Aptos" w:hAnsi="Aptos" w:eastAsia="Aptos"/>
          <w:b w:val="0"/>
          <w:color w:val="1B1C19"/>
          <w:sz w:val="17"/>
        </w:rPr>
        <w:t>A reusable LPM method for defining when issues, risks, decisions, dependencies, and AI events move from local resolution to cross-functional, executive, enterprise-control, or external escalation. Use it to reduce hidden blockers, side-channel escalation, unclear ownership, and unmanaged AI risk.</w:t>
      </w:r>
    </w:p>
    <w:p>
      <w:pPr>
        <w:spacing w:before="200" w:after="80"/>
      </w:pPr>
      <w:r>
        <w:rPr>
          <w:rFonts w:ascii="Aptos" w:hAnsi="Aptos" w:eastAsia="Aptos"/>
          <w:b/>
          <w:color w:val="1B1C19"/>
          <w:sz w:val="30"/>
        </w:rPr>
        <w:t>21. Practical guidance</w:t>
      </w:r>
    </w:p>
    <w:p>
      <w:pPr>
        <w:spacing w:after="60" w:before="0"/>
      </w:pPr>
      <w:r>
        <w:rPr>
          <w:rFonts w:ascii="Aptos" w:hAnsi="Aptos" w:eastAsia="Aptos"/>
          <w:b/>
          <w:color w:val="1B1C19"/>
          <w:sz w:val="17"/>
        </w:rPr>
        <w:t>Do not make every problem an escalation. Escalation is for blocked ownership, material risk, decision conflict, unresolved dependency, AI boundary events, or repeated operating-model failure. The goal is not more meetings. The goal is faster resolution with clearer accountability.</w:t>
      </w:r>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5E605A"/>
        <w:sz w:val="13"/>
      </w:rPr>
      <w:t>LPM / Lapemo | Reusable operating artifact | v1.0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eastAsia="Aptos"/>
        <w:color w:val="5E605A"/>
        <w:sz w:val="13"/>
      </w:rPr>
      <w:t>LPM Knowledge Object | Escalation Map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LPM Reusable Escalation Map</dc:title>
  <dc:subject>LPM Knowledge Object</dc:subject>
  <dc:creator>LPM / Lapemo</dc:creator>
  <cp:keywords/>
  <dc:description>Reusable operating artifact for LPM and Lapemo.</dc:description>
  <cp:lastModifiedBy/>
  <cp:revision>1</cp:revision>
  <dcterms:created xsi:type="dcterms:W3CDTF">2013-12-23T23:15:00Z</dcterms:created>
  <dcterms:modified xsi:type="dcterms:W3CDTF">2013-12-23T23:15:00Z</dcterms:modified>
  <cp:category/>
</cp:coreProperties>
</file>