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2F0EA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556348"/>
                <w:sz w:val="20"/>
              </w:rPr>
              <w:t>LPM KNOWLEDGE OBJECT</w:t>
              <w:br/>
            </w:r>
            <w:r>
              <w:rPr>
                <w:rFonts w:ascii="Arial" w:hAnsi="Arial"/>
                <w:b/>
                <w:color w:val="2D3924"/>
                <w:sz w:val="54"/>
              </w:rPr>
              <w:t>Reusable Incentive Alignment Checklist</w:t>
              <w:br/>
            </w:r>
            <w:r>
              <w:rPr>
                <w:rFonts w:ascii="Arial" w:hAnsi="Arial"/>
                <w:color w:val="1B1C19"/>
                <w:sz w:val="26"/>
              </w:rPr>
              <w:t>Three versions for 500+, 5,000+, and 10,000+ employee companies</w:t>
              <w:br/>
            </w:r>
            <w:r>
              <w:rPr>
                <w:rFonts w:ascii="Arial" w:hAnsi="Arial"/>
                <w:color w:val="5E605A"/>
                <w:sz w:val="21"/>
              </w:rPr>
              <w:br/>
              <w:t>A practical template for testing whether goals, metrics, rewards, recognition, budgets, and AI adoption signals reinforce the operating model the company needs.</w:t>
            </w:r>
          </w:p>
        </w:tc>
      </w:tr>
    </w:tbl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448"/>
            <w:shd w:fill="556348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Object field</w:t>
            </w:r>
          </w:p>
        </w:tc>
        <w:tc>
          <w:tcPr>
            <w:tcW w:type="dxa" w:w="7056"/>
            <w:shd w:fill="556348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Value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Object type</w:t>
            </w:r>
          </w:p>
        </w:tc>
        <w:tc>
          <w:tcPr>
            <w:tcW w:type="dxa" w:w="70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Knowledge Object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layer</w:t>
            </w:r>
          </w:p>
        </w:tc>
        <w:tc>
          <w:tcPr>
            <w:tcW w:type="dxa" w:w="705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Identity &amp; Incentives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Primary use</w:t>
            </w:r>
          </w:p>
        </w:tc>
        <w:tc>
          <w:tcPr>
            <w:tcW w:type="dxa" w:w="70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Expose whether incentives reinforce or fight the desired operating model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Website use</w:t>
            </w:r>
          </w:p>
        </w:tc>
        <w:tc>
          <w:tcPr>
            <w:tcW w:type="dxa" w:w="705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PDF, DOCX, Markdown, JSON, CSV, and future Lapemo guided skill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Version</w:t>
            </w:r>
          </w:p>
        </w:tc>
        <w:tc>
          <w:tcPr>
            <w:tcW w:type="dxa" w:w="70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1.0</w:t>
            </w:r>
          </w:p>
        </w:tc>
      </w:tr>
      <w:tr>
        <w:tc>
          <w:tcPr>
            <w:tcW w:type="dxa" w:w="244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Last reviewed</w:t>
            </w:r>
          </w:p>
        </w:tc>
        <w:tc>
          <w:tcPr>
            <w:tcW w:type="dxa" w:w="705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2026-06-23</w:t>
            </w:r>
          </w:p>
        </w:tc>
      </w:tr>
      <w:tr>
        <w:tc>
          <w:tcPr>
            <w:tcW w:type="dxa" w:w="244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</w:t>
            </w:r>
          </w:p>
        </w:tc>
        <w:tc>
          <w:tcPr>
            <w:tcW w:type="dxa" w:w="705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/ Lapemo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Core claim: AI scales behavior. If the incentive system is misaligned, AI will accelerate the wrong work faster.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1. Knowledge object model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the Incentive Alignment Checklist becomes reusable, ingestible, and updatable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9"/>
        </w:rPr>
        <w:t>An Incentive Alignment Checklist should not live only as a static download. It should be stored as a reusable knowledge object with human-readable guidance and machine-readable structure.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0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Reusable layer</w:t>
            </w:r>
          </w:p>
        </w:tc>
        <w:tc>
          <w:tcPr>
            <w:tcW w:type="dxa" w:w="374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374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Website / Lapemo output</w:t>
            </w:r>
          </w:p>
        </w:tc>
      </w:tr>
      <w:tr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Human guide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Explains how to compare desired behavior to what is actually rewarded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 guide, executive briefing, workshop instructions</w:t>
            </w:r>
          </w:p>
        </w:tc>
      </w:tr>
      <w:tr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Template artifact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Gives teams a practical checklist to complete before onboarding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Word doc, worksheet, CSV import template</w:t>
            </w:r>
          </w:p>
        </w:tc>
      </w:tr>
      <w:tr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Machine-readable schema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Stores fields, scoring, validation, mappings, and version metadata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JSON knowledge object and ingestion source</w:t>
            </w:r>
          </w:p>
        </w:tc>
      </w:tr>
      <w:tr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Guided skill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Uses AI to detect incentive conflicts and recommend corrections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Lapemo in-app workflow or website assistant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C5B2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Leadership principle: do not measure AI adoption by activity alone. Measure business outcome, quality, risk, cycle time, or operating leverage.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2. Canonical fields and scoring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The base structure every profile uses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Field</w:t>
            </w:r>
          </w:p>
        </w:tc>
        <w:tc>
          <w:tcPr>
            <w:tcW w:type="dxa" w:w="590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What it captures</w:t>
            </w:r>
          </w:p>
        </w:tc>
        <w:tc>
          <w:tcPr>
            <w:tcW w:type="dxa" w:w="136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Required?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Incentive domain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Area where incentives shape behavior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Company profile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500+, 5,000+, or 10,000+ employee version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Desired behavior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What the company wants people and AI-enabled workflows to do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Current incentive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Metric, reward, recognition, budget signal, promotion signal, or penalty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Affected population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Roles, teams, functions, BUs, or regions influenced by incentive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Incentive owner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Role accountable for changing or governing the incentive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Connected layer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LPM layer affected by the incentive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Evidence required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Data needed to prove alignment or misalignment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Misalignment signal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Observable behavior showing the incentive is not working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AI amplification risk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How AI could worsen the incentive problem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Correction action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What should be changed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System of record</w:t>
            </w:r>
          </w:p>
        </w:tc>
        <w:tc>
          <w:tcPr>
            <w:tcW w:type="dxa" w:w="590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Where incentive, evidence, and decision record are stored</w:t>
            </w:r>
          </w:p>
        </w:tc>
        <w:tc>
          <w:tcPr>
            <w:tcW w:type="dxa" w:w="136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  <w:tr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Review cadence</w:t>
            </w:r>
          </w:p>
        </w:tc>
        <w:tc>
          <w:tcPr>
            <w:tcW w:type="dxa" w:w="59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Monthly, quarterly, semiannual, annual, or event-driven</w:t>
            </w:r>
          </w:p>
        </w:tc>
        <w:tc>
          <w:tcPr>
            <w:tcW w:type="dxa" w:w="136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4"/>
              </w:rPr>
              <w:t>Yes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10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84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Meaning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0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is unknown or actively conflicts with the desired behavior</w:t>
            </w:r>
          </w:p>
        </w:tc>
      </w:tr>
      <w:tr>
        <w:tc>
          <w:tcPr>
            <w:tcW w:type="dxa" w:w="10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</w:t>
            </w:r>
          </w:p>
        </w:tc>
        <w:tc>
          <w:tcPr>
            <w:tcW w:type="dxa" w:w="84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is visible, but informal, local, or personality-driven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partially supports the behavior but creates tradeoff risk</w:t>
            </w:r>
          </w:p>
        </w:tc>
      </w:tr>
      <w:tr>
        <w:tc>
          <w:tcPr>
            <w:tcW w:type="dxa" w:w="10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3</w:t>
            </w:r>
          </w:p>
        </w:tc>
        <w:tc>
          <w:tcPr>
            <w:tcW w:type="dxa" w:w="84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is documented, owned, measured, and aligned to cross-functional outcomes</w:t>
            </w:r>
          </w:p>
        </w:tc>
      </w:tr>
      <w:tr>
        <w:tc>
          <w:tcPr>
            <w:tcW w:type="dxa" w:w="10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4</w:t>
            </w:r>
          </w:p>
        </w:tc>
        <w:tc>
          <w:tcPr>
            <w:tcW w:type="dxa" w:w="84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is governed, reviewed, linked to outcomes, and safe for AI scaling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3. Version A - 500+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From heroics to repeatable accountability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500+ employee company usually rewards speed, responsiveness, founder trust, and individual heroics. That works early, but it becomes fragile when the company needs repeatable execution and AI-enabled workflows.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1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Incentive area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Desired behavior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Common misalignment</w:t>
            </w:r>
          </w:p>
        </w:tc>
        <w:tc>
          <w:tcPr>
            <w:tcW w:type="dxa" w:w="208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Checklist test</w:t>
            </w:r>
          </w:p>
        </w:tc>
        <w:tc>
          <w:tcPr>
            <w:tcW w:type="dxa" w:w="20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AI boundary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Ownership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own outcomes, not just tasks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Hero operators become default owners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Is one owner named for each recurring outcome?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route work without a named accountable owner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Prioritization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Work follows clear business priorities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Loudest stakeholder or founder preference wins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priority rules documented and visible?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recommendations must reference approved priority criteria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Collaboration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resolve dependencies early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optimize for their own queue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shared outcomes rewarded?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should expose dependency risk, not hide it through faster local output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Documentation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Critical context is captured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Knowledge lives in heads and chats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Is documentation part of delivery definition?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needs trusted source material, not tribal memory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Quality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Speed and quality are balanced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Fast delivery is praised even when rework increases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defects, rework, and support burden reviewed?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AI-generated output requires review standards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Platform use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reuse approved systems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create side tools and spreadsheets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approved systems easier and rewarded?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should not connect to shadow systems without owner approval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adoption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improves real work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chase novelty or demos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Is the use case tied to measurable outcome?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pilots need owner, evidence, and human review rule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500+ design principle: reward scalable behavior before adding heavy governance. Move from heroics to repeatable accountability.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4. 500+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Operating pattern, failure modes, and first workshop focus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Start with the top 10 behaviors leadership says the company needs more of.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Compare those behaviors to what actually gets praised, funded, promoted, tolerated, or ignored.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Convert informal expectations into simple team-level operating rules.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Add one owner for each incentive area.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Review monthly until incentives stop reinforcing old behavior.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73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09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6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Hero culture becomes bottleneck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 few operators rescue every issue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Reward ownership clarity, documentation, and repeatability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Speed beats quality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More output creates more rework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quality and rework signals to delivery reviews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adoption theater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show demos but do not change outcomes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Measure business value, cycle time, quality, or risk reduction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Informal recognition drives behavior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People chase executive visibility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Publish clear success criteria and decision ownership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5. Version B - 5,000+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From functional scorecards to shared operating outcomes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5,000+ employee company usually has formal goals and performance systems, but incentives fragment across functions. The issue is not lack of metrics. It is conflicting metrics.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1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Incentive area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Desired behavior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Common misalignment</w:t>
            </w:r>
          </w:p>
        </w:tc>
        <w:tc>
          <w:tcPr>
            <w:tcW w:type="dxa" w:w="208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Checklist test</w:t>
            </w:r>
          </w:p>
        </w:tc>
        <w:tc>
          <w:tcPr>
            <w:tcW w:type="dxa" w:w="20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AI boundary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Enterprise outcomes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Functions optimize for shared results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Function KPIs conflict with enterprise outcomes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shared outcomes visible in goals and reviews?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initiatives must connect to enterprise value, not isolated productivity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Portfolio execution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prioritize by value and capacity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Intake volume is rewarded more than outcome quality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portfolio tradeoffs measured and owned?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should not accelerate demand intake without prioritization rules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Cross-functional work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resolve handoffs and dependencies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Functions hit metrics while downstream teams absorb pain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dependency outcomes part of performance reviews?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agents crossing functions need shared owner and escalation path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stewardship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maintain trusted data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work is invisible unless there is an incident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data quality and lineage rewarded?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use of data requires owner, classification, and quality threshold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Platform governance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reuse approved platforms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Local tools move faster and avoid controls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approved platform behaviors measured?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use unapproved systems as authoritative sources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Risk and compliance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Controls are built into flow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Risk is treated as a late-stage blocker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control quality and early risk engagement rewarded?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workflows need controls before production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value realization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improves measurable operating outcomes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Usage metrics replace value metrics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value, quality, risk, and adoption measured together?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success cannot be measured by licenses, prompts, or demos alone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5,000+ design principle: align functional incentives to shared operating outcomes. Reduce local optimization and coordination drag.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6. 5,000+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Operating pattern and failure modes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Map each major scorecard to the LPM layers it affects.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Identify where functions are rewarded for conflicting outcomes.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Add shared metrics for cross-functional work, dependency resolution, data quality, and AI value realization.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incentive review during transformation, platform change, and AI program intake.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Track misalignment signals such as rework, escalations, shadow tools, data defects, and governance exceptions.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73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09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6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Silo scorecards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Each function succeeds while the enterprise outcome stalls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shared outcome metrics and named cross-functional owners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Adoption replaces value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Dashboards show users and activity, not outcomes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Pair adoption metrics with value, quality, and risk measures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Controls are punished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avoid risk review because it slows delivery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Reward early control integration and clean evidence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Data work is invisible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depend on bad data but no one funds cleanup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Make data quality, lineage, and stewardship part of operating goals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7. Version C - 10,000+ employee company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From performance management to enterprise incentive architecture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 w:val="0"/>
          <w:color w:val="1B1C19"/>
          <w:sz w:val="18"/>
        </w:rPr>
        <w:t>A 10,000+ employee company needs incentive architecture, not just performance management. Incentives must balance global standards, business unit autonomy, regional realities, risk, platform reuse, and AI governance.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151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Incentive area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Desired behavior</w:t>
            </w:r>
          </w:p>
        </w:tc>
        <w:tc>
          <w:tcPr>
            <w:tcW w:type="dxa" w:w="223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Common misalignment</w:t>
            </w:r>
          </w:p>
        </w:tc>
        <w:tc>
          <w:tcPr>
            <w:tcW w:type="dxa" w:w="208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Checklist test</w:t>
            </w:r>
          </w:p>
        </w:tc>
        <w:tc>
          <w:tcPr>
            <w:tcW w:type="dxa" w:w="201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AI boundary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Enterprise strategy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Leaders optimize for durable enterprise value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BUs maximize local P&amp;L at enterprise expense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Do executive incentives include enterprise-wide operating outcomes?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investment must tie to enterprise value and risk appetite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Federated execution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Local teams execute within global guardrails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Local variation becomes fragmentation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local incentives tied to global standards and control evidence?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workflows need local autonomy plus enterprise guardrails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Platform reuse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Teams reuse enterprise capabilities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BUs fund duplicate tools to move faster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reuse, integration quality, and total cost measured?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scale across duplicate platforms without control mapping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and AI governance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Data and AI are governed as operating assets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Controls are seen as compliance overhead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data quality, model risk, and auditability rewarded?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High-impact AI requires owner, lineage, monitoring, and override rules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M&amp;A integration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Acquired teams converge into target model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Synergy targets ignore operating model debt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integration incentives tied to role, process, data, and platform convergence?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from acquired environments needs governance review before scaling</w:t>
            </w:r>
          </w:p>
        </w:tc>
      </w:tr>
      <w:tr>
        <w:tc>
          <w:tcPr>
            <w:tcW w:type="dxa" w:w="15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Risk appetite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Growth and control are balanced</w:t>
            </w:r>
          </w:p>
        </w:tc>
        <w:tc>
          <w:tcPr>
            <w:tcW w:type="dxa" w:w="223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Revenue goals override risk signals</w:t>
            </w:r>
          </w:p>
        </w:tc>
        <w:tc>
          <w:tcPr>
            <w:tcW w:type="dxa" w:w="2088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risk-adjusted outcomes part of leadership goals?</w:t>
            </w:r>
          </w:p>
        </w:tc>
        <w:tc>
          <w:tcPr>
            <w:tcW w:type="dxa" w:w="201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cannot optimize for growth while ignoring control thresholds</w:t>
            </w:r>
          </w:p>
        </w:tc>
      </w:tr>
      <w:tr>
        <w:tc>
          <w:tcPr>
            <w:tcW w:type="dxa" w:w="15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Workforce evolution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People develop judgment with AI</w:t>
            </w:r>
          </w:p>
        </w:tc>
        <w:tc>
          <w:tcPr>
            <w:tcW w:type="dxa" w:w="223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 is framed only as cost removal</w:t>
            </w:r>
          </w:p>
        </w:tc>
        <w:tc>
          <w:tcPr>
            <w:tcW w:type="dxa" w:w="208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Are leaders rewarded for capability building and responsible redesign?</w:t>
            </w:r>
          </w:p>
        </w:tc>
        <w:tc>
          <w:tcPr>
            <w:tcW w:type="dxa" w:w="201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2"/>
              </w:rPr>
              <w:t>AI-enabled role changes need workforce, governance, and incentive review</w:t>
            </w:r>
          </w:p>
        </w:tc>
      </w:tr>
    </w:tbl>
    <w:p>
      <w:pPr>
        <w:spacing w:after="80" w:line="252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10,000+ design principle: centralize incentive standards where risk and scale matter, but allow local tuning where context matters.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8. 10,000+ implementation notes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Federated incentive design and enterprise control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Define enterprise incentive principles across all LPM layers.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Separate global non-negotiables from local performance design.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Connect incentives to capital allocation, operating model standards, data quality, platform reuse, risk appetite, and AI governance.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Require incentive impact review for reorganizations, M&amp;A, platform migrations, shared-service changes, and agentic AI deployment.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Track incentive drift by business unit, region, platform, and risk tier.</w:t>
      </w: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73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09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Signal</w:t>
            </w:r>
          </w:p>
        </w:tc>
        <w:tc>
          <w:tcPr>
            <w:tcW w:type="dxa" w:w="367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Fix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Local P&amp;L beats enterprise value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BUs duplicate platforms and processes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enterprise reuse and total-cost signals to leadership scorecards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Governance is treated as drag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Teams bypass standards to hit local goals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Reward clean control evidence and reduce friction in approved paths</w:t>
            </w:r>
          </w:p>
        </w:tc>
      </w:tr>
      <w:tr>
        <w:tc>
          <w:tcPr>
            <w:tcW w:type="dxa" w:w="273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is framed only as labor reduction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Leaders optimize headcount before redesigning work</w:t>
            </w:r>
          </w:p>
        </w:tc>
        <w:tc>
          <w:tcPr>
            <w:tcW w:type="dxa" w:w="367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Reward operating leverage, quality, risk reduction, and capability growth</w:t>
            </w:r>
          </w:p>
        </w:tc>
      </w:tr>
      <w:tr>
        <w:tc>
          <w:tcPr>
            <w:tcW w:type="dxa" w:w="273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Integration ignores operating debt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M&amp;A synergy is tracked without platform, data, or role convergence</w:t>
            </w:r>
          </w:p>
        </w:tc>
        <w:tc>
          <w:tcPr>
            <w:tcW w:type="dxa" w:w="367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Add target operating model milestones to integration incentives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9. AI incentive boundaries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incentives should govern AI-assisted and agentic workflows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266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Rule</w:t>
            </w:r>
          </w:p>
        </w:tc>
        <w:tc>
          <w:tcPr>
            <w:tcW w:type="dxa" w:w="3096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Why it matters</w:t>
            </w:r>
          </w:p>
        </w:tc>
        <w:tc>
          <w:tcPr>
            <w:tcW w:type="dxa" w:w="374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Checklist question</w:t>
            </w:r>
          </w:p>
        </w:tc>
      </w:tr>
      <w:tr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 not reward AI activity alone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Usage does not equal value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Are AI metrics tied to outcome, quality, risk, or cycle time?</w:t>
            </w:r>
          </w:p>
        </w:tc>
      </w:tr>
      <w:tr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 not reward speed without review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can increase error volume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Are review standards defined for AI-assisted work?</w:t>
            </w:r>
          </w:p>
        </w:tc>
      </w:tr>
      <w:tr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 not reward local automation that increases enterprise risk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Automation can bypass controls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Does each AI workflow have owner, system, data, and governance mapping?</w:t>
            </w:r>
          </w:p>
        </w:tc>
      </w:tr>
      <w:tr>
        <w:tc>
          <w:tcPr>
            <w:tcW w:type="dxa" w:w="266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 not reward hidden workarounds</w:t>
            </w:r>
          </w:p>
        </w:tc>
        <w:tc>
          <w:tcPr>
            <w:tcW w:type="dxa" w:w="3096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Shadow AI creates security and knowledge risk</w:t>
            </w:r>
          </w:p>
        </w:tc>
        <w:tc>
          <w:tcPr>
            <w:tcW w:type="dxa" w:w="374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Are approved tools and safe workflows easier than side channels?</w:t>
            </w:r>
          </w:p>
        </w:tc>
      </w:tr>
      <w:tr>
        <w:tc>
          <w:tcPr>
            <w:tcW w:type="dxa" w:w="266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Do reward learning and redesign</w:t>
            </w:r>
          </w:p>
        </w:tc>
        <w:tc>
          <w:tcPr>
            <w:tcW w:type="dxa" w:w="3096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AI changes work, not just tasks</w:t>
            </w:r>
          </w:p>
        </w:tc>
        <w:tc>
          <w:tcPr>
            <w:tcW w:type="dxa" w:w="374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5"/>
              </w:rPr>
              <w:t>Are teams rewarded for redesigning workflows and building judgment?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AI amplification red flags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People are measured on AI usage, but not value created.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Teams are praised for automation volume, but not quality or control evidence.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Managers use AI outputs in performance decisions without clear boundaries.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Local teams connect AI to spreadsheets, chats, or undocumented sources of truth.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pilots continue without a named business owner or operating metric.</w:t>
      </w: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10. Operating workflow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to run the checklist before or during Lapemo onboarding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7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43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43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Output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Select company profile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500+, 5,000+, or 10,000+ version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List desired operating behaviors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Behavior inventory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3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Identify current incentives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Metric, reward, recognition, budget, promotion, or penalty map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4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Compare behavior to incentive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Misalignment list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5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Assess AI amplification risk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Risk flags for AI-enabled workflows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6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Score alignment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0 to 4 score by incentive area</w:t>
            </w:r>
          </w:p>
        </w:tc>
      </w:tr>
      <w:tr>
        <w:tc>
          <w:tcPr>
            <w:tcW w:type="dxa" w:w="7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7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Assign correction owner</w:t>
            </w:r>
          </w:p>
        </w:tc>
        <w:tc>
          <w:tcPr>
            <w:tcW w:type="dxa" w:w="43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Action owner and review cadence</w:t>
            </w:r>
          </w:p>
        </w:tc>
      </w:tr>
      <w:tr>
        <w:tc>
          <w:tcPr>
            <w:tcW w:type="dxa" w:w="7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8</w:t>
            </w:r>
          </w:p>
        </w:tc>
        <w:tc>
          <w:tcPr>
            <w:tcW w:type="dxa" w:w="432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Publish version</w:t>
            </w:r>
          </w:p>
        </w:tc>
        <w:tc>
          <w:tcPr>
            <w:tcW w:type="dxa" w:w="43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Website artifact, internal guide, or Lapemo ingestion object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Review triggers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New strategy, annual planning cycle, or executive scorecard.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Reorganization, new operating model, or major role redesign.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New AI program, AI agent, automation, or copilot rollout.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Platform migration, data governance change, or system-of-record change.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M&amp;A integration, divestiture, or shared service redesign.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Repeated rework, escalations, shadow tools, governance exceptions, or quality incidents.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Employee performance, compensation, promotion, or recognition process changes.</w:t>
      </w: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11. Website and skill model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this becomes more than a static download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59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Asset</w:t>
            </w:r>
          </w:p>
        </w:tc>
        <w:tc>
          <w:tcPr>
            <w:tcW w:type="dxa" w:w="691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Use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PDF guide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Executive education and briefing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Word template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Workshop and consulting artifact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Markdown page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Website content and documentation source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JSON knowledge object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Lapemo ingestion and future skill execution</w:t>
            </w:r>
          </w:p>
        </w:tc>
      </w:tr>
      <w:tr>
        <w:tc>
          <w:tcPr>
            <w:tcW w:type="dxa" w:w="259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CSV template</w:t>
            </w:r>
          </w:p>
        </w:tc>
        <w:tc>
          <w:tcPr>
            <w:tcW w:type="dxa" w:w="691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Bulk incentive inventory import</w:t>
            </w:r>
          </w:p>
        </w:tc>
      </w:tr>
      <w:tr>
        <w:tc>
          <w:tcPr>
            <w:tcW w:type="dxa" w:w="259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In-app workflow</w:t>
            </w:r>
          </w:p>
        </w:tc>
        <w:tc>
          <w:tcPr>
            <w:tcW w:type="dxa" w:w="6912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Guided incentive alignment setup in Lapemo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Future Lapemo skill actions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Classify incentives by LPM layer, company profile, population, and AI exposure.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Detect misalignment between desired behavior and current metrics, rewards, or recognition.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Score behavior clarity, metric fit, owner fit, cross-functional fit, evidence quality, and AI safety.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Recommend corrections, owners, evidence, cadence, and escalation rules.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Render the object into DOCX, PDF, CSV, JSON, website copy, or in-app module.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C5B2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Automatic update pattern: systems generate change signals, AI proposes updates with evidence, a human owner approves, and a new version is published with a change log.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12. Validation and mapping rules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How the knowledge object stays trustworthy and ingestible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8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Validation rule</w:t>
            </w:r>
          </w:p>
        </w:tc>
        <w:tc>
          <w:tcPr>
            <w:tcW w:type="dxa" w:w="66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Pass condition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Desired behavior defined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Each incentive area states the behavior the company wants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Current incentive visible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The actual metric, reward, recognition, budget signal, or penalty is captured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 assigned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Each incentive area has a named owner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Evidence standard present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Proof of alignment or misalignment is identified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AI amplification risk assessed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AI impact is evaluated for every incentive area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Correction action defined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Misalignment has a clear fix, owner, and cadence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System of record named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The checklist has a trusted storage location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Version controlled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Version, owner, date, and change rationale are captured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288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Checklist field</w:t>
            </w:r>
          </w:p>
        </w:tc>
        <w:tc>
          <w:tcPr>
            <w:tcW w:type="dxa" w:w="662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Lapemo mapping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domain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Identity &amp; Incentives layer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Desired behavior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Operating model target state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Incentive owner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Ownership Map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Connected operating layer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layer graph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Evidence required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Information Ecology and Data layer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System of record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Platform Structure layer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AI amplification risk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AI Amplification layer</w:t>
            </w:r>
          </w:p>
        </w:tc>
      </w:tr>
      <w:tr>
        <w:tc>
          <w:tcPr>
            <w:tcW w:type="dxa" w:w="2880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Correction action</w:t>
            </w:r>
          </w:p>
        </w:tc>
        <w:tc>
          <w:tcPr>
            <w:tcW w:type="dxa" w:w="6624"/>
            <w:shd w:fill="F0EEE9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Governance Architecture and Decision Architecture layers</w:t>
            </w:r>
          </w:p>
        </w:tc>
      </w:tr>
      <w:tr>
        <w:tc>
          <w:tcPr>
            <w:tcW w:type="dxa" w:w="288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Alignment score</w:t>
            </w:r>
          </w:p>
        </w:tc>
        <w:tc>
          <w:tcPr>
            <w:tcW w:type="dxa" w:w="662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Readiness, risk, and lineage dashboards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br w:type="page"/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2D3924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28"/>
              </w:rPr>
              <w:t>13. Version control</w:t>
            </w:r>
            <w:r>
              <w:br/>
            </w:r>
            <w:r>
              <w:rPr>
                <w:rFonts w:ascii="Arial" w:hAnsi="Arial"/>
                <w:color w:val="D9E8C7"/>
                <w:sz w:val="18"/>
              </w:rPr>
              <w:t>Change log and next reusable artifacts</w:t>
            </w:r>
          </w:p>
        </w:tc>
      </w:tr>
    </w:tbl>
    <w:p>
      <w:pPr>
        <w:spacing w:after="80" w:line="252" w:lineRule="auto"/>
      </w:pPr>
    </w:p>
    <w:tbl>
      <w:tblPr>
        <w:tblStyle w:val="TableGrid"/>
        <w:tblW w:type="pct" w:w="500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152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1728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2304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4320"/>
            <w:shd w:fill="2D3924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Change</w:t>
            </w:r>
          </w:p>
        </w:tc>
      </w:tr>
      <w:tr>
        <w:tc>
          <w:tcPr>
            <w:tcW w:type="dxa" w:w="1152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1.0</w:t>
            </w:r>
          </w:p>
        </w:tc>
        <w:tc>
          <w:tcPr>
            <w:tcW w:type="dxa" w:w="1728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2026-06-23</w:t>
            </w:r>
          </w:p>
        </w:tc>
        <w:tc>
          <w:tcPr>
            <w:tcW w:type="dxa" w:w="2304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LPM / Lapemo</w:t>
            </w:r>
          </w:p>
        </w:tc>
        <w:tc>
          <w:tcPr>
            <w:tcW w:type="dxa" w:w="4320"/>
            <w:shd w:fill="FFFFFF"/>
            <w:vAlign w:val="top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color w:val="1B1C19"/>
                <w:sz w:val="16"/>
              </w:rPr>
              <w:t>Initial reusable Incentive Alignment Checklist knowledge object</w:t>
            </w:r>
          </w:p>
        </w:tc>
      </w:tr>
    </w:tbl>
    <w:p>
      <w:pPr>
        <w:spacing w:after="80" w:line="252" w:lineRule="auto"/>
      </w:pPr>
    </w:p>
    <w:p>
      <w:pPr>
        <w:spacing w:after="80" w:line="252" w:lineRule="auto"/>
      </w:pPr>
      <w:r>
        <w:rPr>
          <w:rFonts w:ascii="Arial" w:hAnsi="Arial"/>
          <w:b/>
          <w:color w:val="2D3924"/>
          <w:sz w:val="22"/>
        </w:rPr>
        <w:t>Recommended next artifacts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Use Case Incentive Review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Performance Metrics Alignment Map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Cross-Functional Outcome Scorecard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AI Adoption Value Scorecard</w:t>
      </w:r>
    </w:p>
    <w:p>
      <w:pPr>
        <w:spacing w:after="80" w:line="252" w:lineRule="auto"/>
        <w:ind w:left="259" w:hanging="173"/>
      </w:pPr>
      <w:r>
        <w:rPr>
          <w:rFonts w:ascii="Arial" w:hAnsi="Arial"/>
          <w:color w:val="1B1C19"/>
          <w:sz w:val="18"/>
        </w:rPr>
        <w:t>- Operating Model Incentive Ledger</w:t>
      </w:r>
    </w:p>
    <w:tbl>
      <w:tblPr>
        <w:tblW w:type="pct" w:w="5000"/>
        <w:jc w:val="center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D9E8C7"/>
            <w:tcMar>
              <w:top w:w="70" w:type="dxa"/>
              <w:left w:w="70" w:type="dxa"/>
              <w:bottom w:w="70" w:type="dxa"/>
              <w:right w:w="70" w:type="dxa"/>
            </w:tcMar>
          </w:tcPr>
          <w:p>
            <w:pPr>
              <w:spacing w:after="0"/>
            </w:pPr>
            <w:r>
              <w:rPr>
                <w:rFonts w:ascii="Arial" w:hAnsi="Arial"/>
                <w:color w:val="1B1C19"/>
                <w:sz w:val="18"/>
              </w:rPr>
              <w:t>Publishing recommendation: host this as a library object on the LPM website with four download options: PDF, DOCX, Markdown, and JSON. In Lapemo, treat the JSON as the source object and render all human-facing formats from that source.</w:t>
            </w:r>
          </w:p>
        </w:tc>
      </w:tr>
    </w:tbl>
    <w:p>
      <w:pPr>
        <w:spacing w:after="80" w:line="252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35" w:bottom="792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E605A"/>
        <w:sz w:val="16"/>
      </w:rPr>
      <w:t>Large People Model / Lapemo | Reusable operating artifact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E605A"/>
        <w:sz w:val="16"/>
      </w:rPr>
      <w:t>LPM Knowledge Object | Incentive Alignment Checklist |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B1C19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D392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LPM Reusable Incentive Alignment Checklist</dc:title>
  <dc:subject>Identity &amp; Incentives knowledge object</dc:subject>
  <dc:creator>LPM / Lapemo</dc:creator>
  <cp:keywords>LPM, Lapemo, incentives, alignment, AI governance, operating model</cp:keywords>
  <dc:description>Generated reusable Incentive Alignment Checklist knowledge object.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