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2D3924"/>
            <w:tcBorders>
              <w:top w:val="single" w:sz="4" w:space="0" w:color="2D3924"/>
              <w:left w:val="single" w:sz="4" w:space="0" w:color="2D3924"/>
              <w:bottom w:val="single" w:sz="4" w:space="0" w:color="2D3924"/>
              <w:right w:val="single" w:sz="4" w:space="0" w:color="2D3924"/>
            </w:tcBorders>
            <w:tcMar>
              <w:top w:w="320" w:type="dxa"/>
              <w:start w:w="250" w:type="dxa"/>
              <w:bottom w:w="320" w:type="dxa"/>
              <w:end w:w="250" w:type="dxa"/>
            </w:tcMar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FFFFFF"/>
                <w:sz w:val="46"/>
              </w:rPr>
              <w:t>INTEGRATION MAP</w:t>
            </w:r>
          </w:p>
          <w:p>
            <w:pPr>
              <w:jc w:val="center"/>
            </w:pPr>
            <w:r>
              <w:rPr>
                <w:rFonts w:ascii="Aptos" w:hAnsi="Aptos" w:eastAsia="Aptos"/>
                <w:color w:val="D9E8C7"/>
                <w:sz w:val="21"/>
              </w:rPr>
              <w:t>Reusable LPM Knowledge Object · Platform Structure / AI Amplification</w:t>
            </w:r>
          </w:p>
          <w:p>
            <w:pPr>
              <w:jc w:val="center"/>
            </w:pPr>
            <w:r>
              <w:rPr>
                <w:rFonts w:ascii="Aptos" w:hAnsi="Aptos" w:eastAsia="Aptos"/>
                <w:color w:val="FFFFFF"/>
                <w:sz w:val="17"/>
              </w:rPr>
              <w:t>Map systems -&gt; data -&gt; workflows -&gt; controls -&gt; AI action boundaries</w:t>
            </w:r>
          </w:p>
        </w:tc>
      </w:tr>
    </w:tbl>
    <w:p>
      <w:pPr>
        <w:spacing w:after="60"/>
      </w:pPr>
    </w:p>
    <w:p>
      <w:pPr>
        <w:spacing w:after="40" w:before="0"/>
      </w:pPr>
      <w:r>
        <w:rPr>
          <w:rFonts w:ascii="Aptos" w:hAnsi="Aptos" w:eastAsia="Aptos"/>
          <w:b/>
          <w:i w:val="0"/>
          <w:color w:val="1B1C19"/>
          <w:sz w:val="24"/>
        </w:rPr>
        <w:t>Purpose</w:t>
      </w:r>
    </w:p>
    <w:p>
      <w:pPr>
        <w:spacing w:after="100" w:before="0"/>
      </w:pPr>
      <w:r>
        <w:rPr>
          <w:rFonts w:ascii="Aptos" w:hAnsi="Aptos" w:eastAsia="Aptos"/>
          <w:b w:val="0"/>
          <w:i w:val="0"/>
          <w:color w:val="1B1C19"/>
          <w:sz w:val="18"/>
        </w:rPr>
        <w:t>Use this template to map how systems, data, workflows, controls, and AI tools connect across the enterprise. The goal is not a technical diagram alone. The goal is to make every connection visible as an operating-model dependency: what moves, why it moves, who owns it, what can fail, what controls apply, and what AI is allowed to do through it.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85"/>
        <w:gridCol w:w="5285"/>
      </w:tblGrid>
      <w:tr>
        <w:trPr>
          <w:tblHeader w:val="true"/>
        </w:trPr>
        <w:tc>
          <w:tcPr>
            <w:tcW w:type="dxa" w:w="2448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4"/>
              </w:rPr>
              <w:t>Metadata</w:t>
            </w:r>
          </w:p>
        </w:tc>
        <w:tc>
          <w:tcPr>
            <w:tcW w:type="dxa" w:w="8064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4"/>
              </w:rPr>
              <w:t>Value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Object type</w:t>
            </w:r>
          </w:p>
        </w:tc>
        <w:tc>
          <w:tcPr>
            <w:tcW w:type="dxa" w:w="806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LPM Knowledge Object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Primary LPM layers</w:t>
            </w:r>
          </w:p>
        </w:tc>
        <w:tc>
          <w:tcPr>
            <w:tcW w:type="dxa" w:w="806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Platform Structure, Information Ecology, Governance Architecture, AI Amplification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Connected layers</w:t>
            </w:r>
          </w:p>
        </w:tc>
        <w:tc>
          <w:tcPr>
            <w:tcW w:type="dxa" w:w="806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Ownership Map, Decision Architecture, Communication Architecture, Source-of-Truth Map, Data Lineage Map, Workflow Inventory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Primary use</w:t>
            </w:r>
          </w:p>
        </w:tc>
        <w:tc>
          <w:tcPr>
            <w:tcW w:type="dxa" w:w="806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Map how systems, data, workflows, controls, and AI tools connect across the enterprise so dependencies, owners, failure paths, and control boundaries are visible.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Website use</w:t>
            </w:r>
          </w:p>
        </w:tc>
        <w:tc>
          <w:tcPr>
            <w:tcW w:type="dxa" w:w="806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Downloadable template, workshop guide, AI readiness resource, JSON object for Lapemo ingestion, and future guided skill.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Version</w:t>
            </w:r>
          </w:p>
        </w:tc>
        <w:tc>
          <w:tcPr>
            <w:tcW w:type="dxa" w:w="806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1.0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Owner</w:t>
            </w:r>
          </w:p>
        </w:tc>
        <w:tc>
          <w:tcPr>
            <w:tcW w:type="dxa" w:w="806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LPM / Lapemo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Last reviewed</w:t>
            </w:r>
          </w:p>
        </w:tc>
        <w:tc>
          <w:tcPr>
            <w:tcW w:type="dxa" w:w="806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2026-06-24</w:t>
            </w:r>
          </w:p>
        </w:tc>
      </w:tr>
    </w:tbl>
    <w:p>
      <w:pPr>
        <w:spacing w:after="20"/>
      </w:pP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1. Core principles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85"/>
        <w:gridCol w:w="5285"/>
      </w:tblGrid>
      <w:tr>
        <w:trPr>
          <w:tblHeader w:val="true"/>
        </w:trPr>
        <w:tc>
          <w:tcPr>
            <w:tcW w:type="dxa" w:w="3240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4"/>
              </w:rPr>
              <w:t>Principle</w:t>
            </w:r>
          </w:p>
        </w:tc>
        <w:tc>
          <w:tcPr>
            <w:tcW w:type="dxa" w:w="7200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4"/>
              </w:rPr>
              <w:t>Meaning</w:t>
            </w:r>
          </w:p>
        </w:tc>
      </w:tr>
      <w:tr>
        <w:tc>
          <w:tcPr>
            <w:tcW w:type="dxa" w:w="32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Integration is an operating-model dependency</w:t>
            </w:r>
          </w:p>
        </w:tc>
        <w:tc>
          <w:tcPr>
            <w:tcW w:type="dxa" w:w="720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An integration is not just technical plumbing. It moves work, data, decisions, evidence, controls, and AI actions across boundaries.</w:t>
            </w:r>
          </w:p>
        </w:tc>
      </w:tr>
      <w:tr>
        <w:tc>
          <w:tcPr>
            <w:tcW w:type="dxa" w:w="32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Every connection needs an owner</w:t>
            </w:r>
          </w:p>
        </w:tc>
        <w:tc>
          <w:tcPr>
            <w:tcW w:type="dxa" w:w="720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The sending system, receiving system, data object, workflow, control, and failure path must have accountable owners.</w:t>
            </w:r>
          </w:p>
        </w:tc>
      </w:tr>
      <w:tr>
        <w:tc>
          <w:tcPr>
            <w:tcW w:type="dxa" w:w="32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Manual handoffs are integrations too</w:t>
            </w:r>
          </w:p>
        </w:tc>
        <w:tc>
          <w:tcPr>
            <w:tcW w:type="dxa" w:w="720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Spreadsheets, email, chat, file uploads, and swivel-chair work must be mapped because AI and automation will amplify those weak points.</w:t>
            </w:r>
          </w:p>
        </w:tc>
      </w:tr>
      <w:tr>
        <w:tc>
          <w:tcPr>
            <w:tcW w:type="dxa" w:w="32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Data movement changes decision quality</w:t>
            </w:r>
          </w:p>
        </w:tc>
        <w:tc>
          <w:tcPr>
            <w:tcW w:type="dxa" w:w="720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Dashboards, models, agents, and executives inherit the quality, freshness, transformation logic, and lineage of the integration path.</w:t>
            </w:r>
          </w:p>
        </w:tc>
      </w:tr>
      <w:tr>
        <w:tc>
          <w:tcPr>
            <w:tcW w:type="dxa" w:w="32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AI access must be bounded by the integration map</w:t>
            </w:r>
          </w:p>
        </w:tc>
        <w:tc>
          <w:tcPr>
            <w:tcW w:type="dxa" w:w="720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AI should not retrieve, update, trigger, or act across systems unless permission, source, lineage, audit, and human review rules are defined.</w:t>
            </w:r>
          </w:p>
        </w:tc>
      </w:tr>
      <w:tr>
        <w:tc>
          <w:tcPr>
            <w:tcW w:type="dxa" w:w="32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Failure handling is part of the design</w:t>
            </w:r>
          </w:p>
        </w:tc>
        <w:tc>
          <w:tcPr>
            <w:tcW w:type="dxa" w:w="720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Every critical integration needs observability, retries, exception routing, owner notification, escalation, and recovery evidence.</w:t>
            </w:r>
          </w:p>
        </w:tc>
      </w:tr>
      <w:tr>
        <w:tc>
          <w:tcPr>
            <w:tcW w:type="dxa" w:w="32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The map should drive simplification</w:t>
            </w:r>
          </w:p>
        </w:tc>
        <w:tc>
          <w:tcPr>
            <w:tcW w:type="dxa" w:w="720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The goal is not documentation theater. It should identify duplicate flows, brittle handoffs, shadow automation, governance gaps, and consolidation opportunities.</w:t>
            </w:r>
          </w:p>
        </w:tc>
      </w:tr>
    </w:tbl>
    <w:p>
      <w:pPr>
        <w:spacing w:after="20"/>
      </w:pP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2. Required fields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2448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2"/>
              </w:rPr>
              <w:t>Field</w:t>
            </w:r>
          </w:p>
        </w:tc>
        <w:tc>
          <w:tcPr>
            <w:tcW w:type="dxa" w:w="6840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2"/>
              </w:rPr>
              <w:t>Definition</w:t>
            </w:r>
          </w:p>
        </w:tc>
        <w:tc>
          <w:tcPr>
            <w:tcW w:type="dxa" w:w="1181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2"/>
              </w:rPr>
              <w:t>Required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Integration ID</w:t>
            </w:r>
          </w:p>
        </w:tc>
        <w:tc>
          <w:tcPr>
            <w:tcW w:type="dxa" w:w="68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Unique identifier for the integration, connector, automation, file transfer, API, event, RPA bot, data pipeline, or manual handoff</w:t>
            </w:r>
          </w:p>
        </w:tc>
        <w:tc>
          <w:tcPr>
            <w:tcW w:type="dxa" w:w="1181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Integration name</w:t>
            </w:r>
          </w:p>
        </w:tc>
        <w:tc>
          <w:tcPr>
            <w:tcW w:type="dxa" w:w="68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Human-readable name used by business and technical teams</w:t>
            </w:r>
          </w:p>
        </w:tc>
        <w:tc>
          <w:tcPr>
            <w:tcW w:type="dxa" w:w="1181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Integration type</w:t>
            </w:r>
          </w:p>
        </w:tc>
        <w:tc>
          <w:tcPr>
            <w:tcW w:type="dxa" w:w="68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API, webhook, event stream, ETL/ELT, file transfer, database replication, RPA, workflow automation, native connector, manual handoff, or AI tool action</w:t>
            </w:r>
          </w:p>
        </w:tc>
        <w:tc>
          <w:tcPr>
            <w:tcW w:type="dxa" w:w="1181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Business purpose</w:t>
            </w:r>
          </w:p>
        </w:tc>
        <w:tc>
          <w:tcPr>
            <w:tcW w:type="dxa" w:w="68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The business capability, workflow, decision, report, control, or AI use case supported by the integration</w:t>
            </w:r>
          </w:p>
        </w:tc>
        <w:tc>
          <w:tcPr>
            <w:tcW w:type="dxa" w:w="1181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Source system</w:t>
            </w:r>
          </w:p>
        </w:tc>
        <w:tc>
          <w:tcPr>
            <w:tcW w:type="dxa" w:w="68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Platform, data product, team, vendor, document, or human process sending the data or work item</w:t>
            </w:r>
          </w:p>
        </w:tc>
        <w:tc>
          <w:tcPr>
            <w:tcW w:type="dxa" w:w="1181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Target system</w:t>
            </w:r>
          </w:p>
        </w:tc>
        <w:tc>
          <w:tcPr>
            <w:tcW w:type="dxa" w:w="68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Platform, workflow, dashboard, AI tool, data store, control system, or team receiving the data or work item</w:t>
            </w:r>
          </w:p>
        </w:tc>
        <w:tc>
          <w:tcPr>
            <w:tcW w:type="dxa" w:w="1181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Source owner</w:t>
            </w:r>
          </w:p>
        </w:tc>
        <w:tc>
          <w:tcPr>
            <w:tcW w:type="dxa" w:w="68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Accountable owner for the source system, source data, or source workflow</w:t>
            </w:r>
          </w:p>
        </w:tc>
        <w:tc>
          <w:tcPr>
            <w:tcW w:type="dxa" w:w="1181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Target owner</w:t>
            </w:r>
          </w:p>
        </w:tc>
        <w:tc>
          <w:tcPr>
            <w:tcW w:type="dxa" w:w="68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Accountable owner for the receiving system, receiving process, or downstream use</w:t>
            </w:r>
          </w:p>
        </w:tc>
        <w:tc>
          <w:tcPr>
            <w:tcW w:type="dxa" w:w="1181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Data owner / steward</w:t>
            </w:r>
          </w:p>
        </w:tc>
        <w:tc>
          <w:tcPr>
            <w:tcW w:type="dxa" w:w="68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Owner of definitions, quality, freshness, and permitted usage for critical data moved through the integration</w:t>
            </w:r>
          </w:p>
        </w:tc>
        <w:tc>
          <w:tcPr>
            <w:tcW w:type="dxa" w:w="1181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Required when data moves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Workflow owner</w:t>
            </w:r>
          </w:p>
        </w:tc>
        <w:tc>
          <w:tcPr>
            <w:tcW w:type="dxa" w:w="68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Owner of the business process or operating workflow affected by the integration</w:t>
            </w:r>
          </w:p>
        </w:tc>
        <w:tc>
          <w:tcPr>
            <w:tcW w:type="dxa" w:w="1181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Required when workflow-critical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Control owner</w:t>
            </w:r>
          </w:p>
        </w:tc>
        <w:tc>
          <w:tcPr>
            <w:tcW w:type="dxa" w:w="68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Owner of access, audit, retention, approval, segregation, exception, or compliance rule</w:t>
            </w:r>
          </w:p>
        </w:tc>
        <w:tc>
          <w:tcPr>
            <w:tcW w:type="dxa" w:w="1181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Required when controlled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Critical objects moved</w:t>
            </w:r>
          </w:p>
        </w:tc>
        <w:tc>
          <w:tcPr>
            <w:tcW w:type="dxa" w:w="68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Records, metrics, decisions, documents, tickets, approvals, model inputs, outputs, prompts, or evidence objects moved across the integration</w:t>
            </w:r>
          </w:p>
        </w:tc>
        <w:tc>
          <w:tcPr>
            <w:tcW w:type="dxa" w:w="1181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Trigger</w:t>
            </w:r>
          </w:p>
        </w:tc>
        <w:tc>
          <w:tcPr>
            <w:tcW w:type="dxa" w:w="68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Schedule, event, user action, AI action, approval, status change, file drop, API call, or manual request that starts the integration</w:t>
            </w:r>
          </w:p>
        </w:tc>
        <w:tc>
          <w:tcPr>
            <w:tcW w:type="dxa" w:w="1181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Frequency / latency</w:t>
            </w:r>
          </w:p>
        </w:tc>
        <w:tc>
          <w:tcPr>
            <w:tcW w:type="dxa" w:w="68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Real-time, near-real-time, hourly, daily, weekly, monthly, ad hoc, batch, or manual</w:t>
            </w:r>
          </w:p>
        </w:tc>
        <w:tc>
          <w:tcPr>
            <w:tcW w:type="dxa" w:w="1181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Transformation logic</w:t>
            </w:r>
          </w:p>
        </w:tc>
        <w:tc>
          <w:tcPr>
            <w:tcW w:type="dxa" w:w="68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Mapping, enrichment, filtering, aggregation, validation, normalization, scoring, or prompt/model processing applied during movement</w:t>
            </w:r>
          </w:p>
        </w:tc>
        <w:tc>
          <w:tcPr>
            <w:tcW w:type="dxa" w:w="1181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Validation checks</w:t>
            </w:r>
          </w:p>
        </w:tc>
        <w:tc>
          <w:tcPr>
            <w:tcW w:type="dxa" w:w="68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Completeness, schema, reconciliation, quality, access, approval, exception, and error-handling checks</w:t>
            </w:r>
          </w:p>
        </w:tc>
        <w:tc>
          <w:tcPr>
            <w:tcW w:type="dxa" w:w="1181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Failure path</w:t>
            </w:r>
          </w:p>
        </w:tc>
        <w:tc>
          <w:tcPr>
            <w:tcW w:type="dxa" w:w="68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How failures are detected, routed, escalated, retried, recovered, and evidenced</w:t>
            </w:r>
          </w:p>
        </w:tc>
        <w:tc>
          <w:tcPr>
            <w:tcW w:type="dxa" w:w="1181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Observability signal</w:t>
            </w:r>
          </w:p>
        </w:tc>
        <w:tc>
          <w:tcPr>
            <w:tcW w:type="dxa" w:w="68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Logs, SLA, freshness monitor, queue depth, error rate, reconciliation report, alert, or manual check</w:t>
            </w:r>
          </w:p>
        </w:tc>
        <w:tc>
          <w:tcPr>
            <w:tcW w:type="dxa" w:w="1181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AI usage boundary</w:t>
            </w:r>
          </w:p>
        </w:tc>
        <w:tc>
          <w:tcPr>
            <w:tcW w:type="dxa" w:w="68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Whether AI can read, summarize, classify, recommend, trigger, update, approve, or act through this integration</w:t>
            </w:r>
          </w:p>
        </w:tc>
        <w:tc>
          <w:tcPr>
            <w:tcW w:type="dxa" w:w="1181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Human review rule</w:t>
            </w:r>
          </w:p>
        </w:tc>
        <w:tc>
          <w:tcPr>
            <w:tcW w:type="dxa" w:w="68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When a human must review AI-triggered movement, exceptions, data updates, or downstream actions</w:t>
            </w:r>
          </w:p>
        </w:tc>
        <w:tc>
          <w:tcPr>
            <w:tcW w:type="dxa" w:w="1181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Required when material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Risk tier</w:t>
            </w:r>
          </w:p>
        </w:tc>
        <w:tc>
          <w:tcPr>
            <w:tcW w:type="dxa" w:w="68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Low, moderate, high, critical, regulated, customer-impacting, financial-impacting, or AI-actioning</w:t>
            </w:r>
          </w:p>
        </w:tc>
        <w:tc>
          <w:tcPr>
            <w:tcW w:type="dxa" w:w="1181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Evidence link</w:t>
            </w:r>
          </w:p>
        </w:tc>
        <w:tc>
          <w:tcPr>
            <w:tcW w:type="dxa" w:w="68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Log, ticket, control record, policy, runbook, data lineage reference, source-of-truth record, or decision log link</w:t>
            </w:r>
          </w:p>
        </w:tc>
        <w:tc>
          <w:tcPr>
            <w:tcW w:type="dxa" w:w="1181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Lifecycle state</w:t>
            </w:r>
          </w:p>
        </w:tc>
        <w:tc>
          <w:tcPr>
            <w:tcW w:type="dxa" w:w="68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Discover, pilot, active, monitored, governed, constrained, duplicate, replace, retire, or exception</w:t>
            </w:r>
          </w:p>
        </w:tc>
        <w:tc>
          <w:tcPr>
            <w:tcW w:type="dxa" w:w="1181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Review date</w:t>
            </w:r>
          </w:p>
        </w:tc>
        <w:tc>
          <w:tcPr>
            <w:tcW w:type="dxa" w:w="68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Next review of purpose, ownership, data movement, controls, AI boundary, and failure path</w:t>
            </w:r>
          </w:p>
        </w:tc>
        <w:tc>
          <w:tcPr>
            <w:tcW w:type="dxa" w:w="1181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Version</w:t>
            </w:r>
          </w:p>
        </w:tc>
        <w:tc>
          <w:tcPr>
            <w:tcW w:type="dxa" w:w="68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Object version, owner, last reviewed date, and change history</w:t>
            </w:r>
          </w:p>
        </w:tc>
        <w:tc>
          <w:tcPr>
            <w:tcW w:type="dxa" w:w="1181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Yes</w:t>
            </w:r>
          </w:p>
        </w:tc>
      </w:tr>
    </w:tbl>
    <w:p>
      <w:pPr>
        <w:spacing w:after="20"/>
      </w:pP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3. Integration types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42"/>
        <w:gridCol w:w="2642"/>
        <w:gridCol w:w="2642"/>
        <w:gridCol w:w="2642"/>
      </w:tblGrid>
      <w:tr>
        <w:trPr>
          <w:tblHeader w:val="true"/>
        </w:trPr>
        <w:tc>
          <w:tcPr>
            <w:tcW w:type="dxa" w:w="1944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1"/>
              </w:rPr>
              <w:t>Type</w:t>
            </w:r>
          </w:p>
        </w:tc>
        <w:tc>
          <w:tcPr>
            <w:tcW w:type="dxa" w:w="3240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1"/>
              </w:rPr>
              <w:t>Definition</w:t>
            </w:r>
          </w:p>
        </w:tc>
        <w:tc>
          <w:tcPr>
            <w:tcW w:type="dxa" w:w="2520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1"/>
              </w:rPr>
              <w:t>Example</w:t>
            </w:r>
          </w:p>
        </w:tc>
        <w:tc>
          <w:tcPr>
            <w:tcW w:type="dxa" w:w="2736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1"/>
              </w:rPr>
              <w:t>Common risk</w:t>
            </w:r>
          </w:p>
        </w:tc>
      </w:tr>
      <w:tr>
        <w:tc>
          <w:tcPr>
            <w:tcW w:type="dxa" w:w="194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API / service call</w:t>
            </w:r>
          </w:p>
        </w:tc>
        <w:tc>
          <w:tcPr>
            <w:tcW w:type="dxa" w:w="32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Synchronous system-to-system request and response</w:t>
            </w:r>
          </w:p>
        </w:tc>
        <w:tc>
          <w:tcPr>
            <w:tcW w:type="dxa" w:w="25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CRM calls pricing service</w:t>
            </w:r>
          </w:p>
        </w:tc>
        <w:tc>
          <w:tcPr>
            <w:tcW w:type="dxa" w:w="273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Timeouts, version drift, missing owner, weak auth</w:t>
            </w:r>
          </w:p>
        </w:tc>
      </w:tr>
      <w:tr>
        <w:tc>
          <w:tcPr>
            <w:tcW w:type="dxa" w:w="194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Webhook / event trigger</w:t>
            </w:r>
          </w:p>
        </w:tc>
        <w:tc>
          <w:tcPr>
            <w:tcW w:type="dxa" w:w="32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System pushes event when something changes</w:t>
            </w:r>
          </w:p>
        </w:tc>
        <w:tc>
          <w:tcPr>
            <w:tcW w:type="dxa" w:w="25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Contract signed triggers onboarding workflow</w:t>
            </w:r>
          </w:p>
        </w:tc>
        <w:tc>
          <w:tcPr>
            <w:tcW w:type="dxa" w:w="273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Silent failures, duplicate events, no retry path</w:t>
            </w:r>
          </w:p>
        </w:tc>
      </w:tr>
      <w:tr>
        <w:tc>
          <w:tcPr>
            <w:tcW w:type="dxa" w:w="194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Event stream</w:t>
            </w:r>
          </w:p>
        </w:tc>
        <w:tc>
          <w:tcPr>
            <w:tcW w:type="dxa" w:w="32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Continuous publish/subscribe movement across systems</w:t>
            </w:r>
          </w:p>
        </w:tc>
        <w:tc>
          <w:tcPr>
            <w:tcW w:type="dxa" w:w="25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Kafka events feed data products and alerts</w:t>
            </w:r>
          </w:p>
        </w:tc>
        <w:tc>
          <w:tcPr>
            <w:tcW w:type="dxa" w:w="273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Schema changes, consumer sprawl, weak lineage</w:t>
            </w:r>
          </w:p>
        </w:tc>
      </w:tr>
      <w:tr>
        <w:tc>
          <w:tcPr>
            <w:tcW w:type="dxa" w:w="194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ETL / ELT pipeline</w:t>
            </w:r>
          </w:p>
        </w:tc>
        <w:tc>
          <w:tcPr>
            <w:tcW w:type="dxa" w:w="32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Batch or scheduled data extraction, transformation, and loading</w:t>
            </w:r>
          </w:p>
        </w:tc>
        <w:tc>
          <w:tcPr>
            <w:tcW w:type="dxa" w:w="25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ERP data into warehouse and BI model</w:t>
            </w:r>
          </w:p>
        </w:tc>
        <w:tc>
          <w:tcPr>
            <w:tcW w:type="dxa" w:w="273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Stale data, transformation opacity, dashboard trust gaps</w:t>
            </w:r>
          </w:p>
        </w:tc>
      </w:tr>
      <w:tr>
        <w:tc>
          <w:tcPr>
            <w:tcW w:type="dxa" w:w="194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File transfer</w:t>
            </w:r>
          </w:p>
        </w:tc>
        <w:tc>
          <w:tcPr>
            <w:tcW w:type="dxa" w:w="32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CSV, flat file, secure transfer, export/import, or vendor feed</w:t>
            </w:r>
          </w:p>
        </w:tc>
        <w:tc>
          <w:tcPr>
            <w:tcW w:type="dxa" w:w="25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Daily HR file to identity system</w:t>
            </w:r>
          </w:p>
        </w:tc>
        <w:tc>
          <w:tcPr>
            <w:tcW w:type="dxa" w:w="273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Manual errors, late files, no validation evidence</w:t>
            </w:r>
          </w:p>
        </w:tc>
      </w:tr>
      <w:tr>
        <w:tc>
          <w:tcPr>
            <w:tcW w:type="dxa" w:w="194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Database replication</w:t>
            </w:r>
          </w:p>
        </w:tc>
        <w:tc>
          <w:tcPr>
            <w:tcW w:type="dxa" w:w="32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Data copied or synchronized between stores</w:t>
            </w:r>
          </w:p>
        </w:tc>
        <w:tc>
          <w:tcPr>
            <w:tcW w:type="dxa" w:w="25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Operational DB to analytics replica</w:t>
            </w:r>
          </w:p>
        </w:tc>
        <w:tc>
          <w:tcPr>
            <w:tcW w:type="dxa" w:w="273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Latency, schema drift, ambiguous source of truth</w:t>
            </w:r>
          </w:p>
        </w:tc>
      </w:tr>
      <w:tr>
        <w:tc>
          <w:tcPr>
            <w:tcW w:type="dxa" w:w="194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RPA / bot</w:t>
            </w:r>
          </w:p>
        </w:tc>
        <w:tc>
          <w:tcPr>
            <w:tcW w:type="dxa" w:w="32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Automation interacts with a UI when no API exists</w:t>
            </w:r>
          </w:p>
        </w:tc>
        <w:tc>
          <w:tcPr>
            <w:tcW w:type="dxa" w:w="25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Bot moves cases between legacy systems</w:t>
            </w:r>
          </w:p>
        </w:tc>
        <w:tc>
          <w:tcPr>
            <w:tcW w:type="dxa" w:w="273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Brittle selectors, hidden credentials, weak audit trail</w:t>
            </w:r>
          </w:p>
        </w:tc>
      </w:tr>
      <w:tr>
        <w:tc>
          <w:tcPr>
            <w:tcW w:type="dxa" w:w="194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Workflow automation</w:t>
            </w:r>
          </w:p>
        </w:tc>
        <w:tc>
          <w:tcPr>
            <w:tcW w:type="dxa" w:w="32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Rules engine or orchestration tool moves work across systems</w:t>
            </w:r>
          </w:p>
        </w:tc>
        <w:tc>
          <w:tcPr>
            <w:tcW w:type="dxa" w:w="25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ServiceNow to Jira to Teams notification</w:t>
            </w:r>
          </w:p>
        </w:tc>
        <w:tc>
          <w:tcPr>
            <w:tcW w:type="dxa" w:w="273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No process owner, no exception routing</w:t>
            </w:r>
          </w:p>
        </w:tc>
      </w:tr>
      <w:tr>
        <w:tc>
          <w:tcPr>
            <w:tcW w:type="dxa" w:w="194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Native connector</w:t>
            </w:r>
          </w:p>
        </w:tc>
        <w:tc>
          <w:tcPr>
            <w:tcW w:type="dxa" w:w="32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Vendor-provided connector between platforms</w:t>
            </w:r>
          </w:p>
        </w:tc>
        <w:tc>
          <w:tcPr>
            <w:tcW w:type="dxa" w:w="25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Salesforce to Slack notification</w:t>
            </w:r>
          </w:p>
        </w:tc>
        <w:tc>
          <w:tcPr>
            <w:tcW w:type="dxa" w:w="273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Limited transparency, permission creep</w:t>
            </w:r>
          </w:p>
        </w:tc>
      </w:tr>
      <w:tr>
        <w:tc>
          <w:tcPr>
            <w:tcW w:type="dxa" w:w="194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Manual handoff</w:t>
            </w:r>
          </w:p>
        </w:tc>
        <w:tc>
          <w:tcPr>
            <w:tcW w:type="dxa" w:w="32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Human moves data or work through chat, email, spreadsheet, meeting, or upload</w:t>
            </w:r>
          </w:p>
        </w:tc>
        <w:tc>
          <w:tcPr>
            <w:tcW w:type="dxa" w:w="25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Analyst emails weekly report</w:t>
            </w:r>
          </w:p>
        </w:tc>
        <w:tc>
          <w:tcPr>
            <w:tcW w:type="dxa" w:w="273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Invisible dependency, stale evidence, AI hallucination risk</w:t>
            </w:r>
          </w:p>
        </w:tc>
      </w:tr>
      <w:tr>
        <w:tc>
          <w:tcPr>
            <w:tcW w:type="dxa" w:w="194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AI tool action</w:t>
            </w:r>
          </w:p>
        </w:tc>
        <w:tc>
          <w:tcPr>
            <w:tcW w:type="dxa" w:w="32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AI retrieves, transforms, summarizes, classifies, updates, or triggers work across systems</w:t>
            </w:r>
          </w:p>
        </w:tc>
        <w:tc>
          <w:tcPr>
            <w:tcW w:type="dxa" w:w="25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Agent updates CRM from meeting notes</w:t>
            </w:r>
          </w:p>
        </w:tc>
        <w:tc>
          <w:tcPr>
            <w:tcW w:type="dxa" w:w="273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No decision rights, source ambiguity, uncontrolled action</w:t>
            </w:r>
          </w:p>
        </w:tc>
      </w:tr>
    </w:tbl>
    <w:p>
      <w:pPr>
        <w:spacing w:after="20"/>
      </w:pP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4. Integration map stages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14"/>
        <w:gridCol w:w="2114"/>
        <w:gridCol w:w="2114"/>
        <w:gridCol w:w="2114"/>
        <w:gridCol w:w="2114"/>
      </w:tblGrid>
      <w:tr>
        <w:trPr>
          <w:tblHeader w:val="true"/>
        </w:trPr>
        <w:tc>
          <w:tcPr>
            <w:tcW w:type="dxa" w:w="1555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1"/>
              </w:rPr>
              <w:t>Stage</w:t>
            </w:r>
          </w:p>
        </w:tc>
        <w:tc>
          <w:tcPr>
            <w:tcW w:type="dxa" w:w="2520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1"/>
              </w:rPr>
              <w:t>What happens</w:t>
            </w:r>
          </w:p>
        </w:tc>
        <w:tc>
          <w:tcPr>
            <w:tcW w:type="dxa" w:w="2232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1"/>
              </w:rPr>
              <w:t>Evidence</w:t>
            </w:r>
          </w:p>
        </w:tc>
        <w:tc>
          <w:tcPr>
            <w:tcW w:type="dxa" w:w="2088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1"/>
              </w:rPr>
              <w:t>Key fields</w:t>
            </w:r>
          </w:p>
        </w:tc>
        <w:tc>
          <w:tcPr>
            <w:tcW w:type="dxa" w:w="2059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1"/>
              </w:rPr>
              <w:t>Common risk</w:t>
            </w:r>
          </w:p>
        </w:tc>
      </w:tr>
      <w:tr>
        <w:tc>
          <w:tcPr>
            <w:tcW w:type="dxa" w:w="1555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1. Identify</w:t>
            </w:r>
          </w:p>
        </w:tc>
        <w:tc>
          <w:tcPr>
            <w:tcW w:type="dxa" w:w="25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Catalog the integration, type, business purpose, source, target, trigger, and lifecycle state.</w:t>
            </w:r>
          </w:p>
        </w:tc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App inventory, architecture diagram, workflow inventory, data catalog</w:t>
            </w:r>
          </w:p>
        </w:tc>
        <w:tc>
          <w:tcPr>
            <w:tcW w:type="dxa" w:w="208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Integration ID, type, source, target</w:t>
            </w:r>
          </w:p>
        </w:tc>
        <w:tc>
          <w:tcPr>
            <w:tcW w:type="dxa" w:w="2059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Hidden or undocumented connection</w:t>
            </w:r>
          </w:p>
        </w:tc>
      </w:tr>
      <w:tr>
        <w:tc>
          <w:tcPr>
            <w:tcW w:type="dxa" w:w="1555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2. Own</w:t>
            </w:r>
          </w:p>
        </w:tc>
        <w:tc>
          <w:tcPr>
            <w:tcW w:type="dxa" w:w="25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Name source owner, target owner, data owner, workflow owner, technical owner, and control owner.</w:t>
            </w:r>
          </w:p>
        </w:tc>
        <w:tc>
          <w:tcPr>
            <w:tcW w:type="dxa" w:w="223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Ownership map, platform map, RACI, support model</w:t>
            </w:r>
          </w:p>
        </w:tc>
        <w:tc>
          <w:tcPr>
            <w:tcW w:type="dxa" w:w="208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Owners and review cadence</w:t>
            </w:r>
          </w:p>
        </w:tc>
        <w:tc>
          <w:tcPr>
            <w:tcW w:type="dxa" w:w="2059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Ownerless integration or unclear accountability</w:t>
            </w:r>
          </w:p>
        </w:tc>
      </w:tr>
      <w:tr>
        <w:tc>
          <w:tcPr>
            <w:tcW w:type="dxa" w:w="1555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3. Trace</w:t>
            </w:r>
          </w:p>
        </w:tc>
        <w:tc>
          <w:tcPr>
            <w:tcW w:type="dxa" w:w="25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Map critical objects, transformation logic, upstream dependencies, downstream consumers, and lineage.</w:t>
            </w:r>
          </w:p>
        </w:tc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Data lineage, source-of-truth map, pipeline config, runbook</w:t>
            </w:r>
          </w:p>
        </w:tc>
        <w:tc>
          <w:tcPr>
            <w:tcW w:type="dxa" w:w="208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Objects moved, mappings, lineage</w:t>
            </w:r>
          </w:p>
        </w:tc>
        <w:tc>
          <w:tcPr>
            <w:tcW w:type="dxa" w:w="2059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Decision or AI output cannot be traced</w:t>
            </w:r>
          </w:p>
        </w:tc>
      </w:tr>
      <w:tr>
        <w:tc>
          <w:tcPr>
            <w:tcW w:type="dxa" w:w="1555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4. Control</w:t>
            </w:r>
          </w:p>
        </w:tc>
        <w:tc>
          <w:tcPr>
            <w:tcW w:type="dxa" w:w="25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Attach access, security, approval, retention, privacy, audit, reconciliation, and exception rules.</w:t>
            </w:r>
          </w:p>
        </w:tc>
        <w:tc>
          <w:tcPr>
            <w:tcW w:type="dxa" w:w="223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GRC records, IAM policy, audit logs, control evidence</w:t>
            </w:r>
          </w:p>
        </w:tc>
        <w:tc>
          <w:tcPr>
            <w:tcW w:type="dxa" w:w="208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Controls and validation checks</w:t>
            </w:r>
          </w:p>
        </w:tc>
        <w:tc>
          <w:tcPr>
            <w:tcW w:type="dxa" w:w="2059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Data moves without approval or evidence</w:t>
            </w:r>
          </w:p>
        </w:tc>
      </w:tr>
      <w:tr>
        <w:tc>
          <w:tcPr>
            <w:tcW w:type="dxa" w:w="1555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5. Monitor</w:t>
            </w:r>
          </w:p>
        </w:tc>
        <w:tc>
          <w:tcPr>
            <w:tcW w:type="dxa" w:w="25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Define observability, failure detection, SLA, freshness, reconciliation, alerts, and support path.</w:t>
            </w:r>
          </w:p>
        </w:tc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Logs, SLA reports, monitoring, tickets, alerts</w:t>
            </w:r>
          </w:p>
        </w:tc>
        <w:tc>
          <w:tcPr>
            <w:tcW w:type="dxa" w:w="208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Health signal and failure path</w:t>
            </w:r>
          </w:p>
        </w:tc>
        <w:tc>
          <w:tcPr>
            <w:tcW w:type="dxa" w:w="2059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Silent failure or brittle handoff</w:t>
            </w:r>
          </w:p>
        </w:tc>
      </w:tr>
      <w:tr>
        <w:tc>
          <w:tcPr>
            <w:tcW w:type="dxa" w:w="1555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6. AI-bound</w:t>
            </w:r>
          </w:p>
        </w:tc>
        <w:tc>
          <w:tcPr>
            <w:tcW w:type="dxa" w:w="25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Define what AI can retrieve, summarize, transform, trigger, update, approve, or act on through the integration.</w:t>
            </w:r>
          </w:p>
        </w:tc>
        <w:tc>
          <w:tcPr>
            <w:tcW w:type="dxa" w:w="223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AI policy, model registry, permission model, agent logs</w:t>
            </w:r>
          </w:p>
        </w:tc>
        <w:tc>
          <w:tcPr>
            <w:tcW w:type="dxa" w:w="208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AI boundary and human review rule</w:t>
            </w:r>
          </w:p>
        </w:tc>
        <w:tc>
          <w:tcPr>
            <w:tcW w:type="dxa" w:w="2059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AI action without authority or audit</w:t>
            </w:r>
          </w:p>
        </w:tc>
      </w:tr>
      <w:tr>
        <w:tc>
          <w:tcPr>
            <w:tcW w:type="dxa" w:w="1555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7. Optimize</w:t>
            </w:r>
          </w:p>
        </w:tc>
        <w:tc>
          <w:tcPr>
            <w:tcW w:type="dxa" w:w="25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Decide whether to standardize, govern, automate, consolidate, replace, retire, or accept as an exception.</w:t>
            </w:r>
          </w:p>
        </w:tc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Roadmap, architecture review, risk register, value case</w:t>
            </w:r>
          </w:p>
        </w:tc>
        <w:tc>
          <w:tcPr>
            <w:tcW w:type="dxa" w:w="208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Lifecycle decision and next action</w:t>
            </w:r>
          </w:p>
        </w:tc>
        <w:tc>
          <w:tcPr>
            <w:tcW w:type="dxa" w:w="2059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1"/>
              </w:rPr>
              <w:t>Integration sprawl and automation debt</w:t>
            </w:r>
          </w:p>
        </w:tc>
      </w:tr>
    </w:tbl>
    <w:p>
      <w:pPr>
        <w:spacing w:after="20"/>
      </w:pP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5. Integration archetypes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42"/>
        <w:gridCol w:w="2642"/>
        <w:gridCol w:w="2642"/>
        <w:gridCol w:w="2642"/>
      </w:tblGrid>
      <w:tr>
        <w:trPr>
          <w:tblHeader w:val="true"/>
        </w:trPr>
        <w:tc>
          <w:tcPr>
            <w:tcW w:type="dxa" w:w="1944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2"/>
              </w:rPr>
              <w:t>Archetype</w:t>
            </w:r>
          </w:p>
        </w:tc>
        <w:tc>
          <w:tcPr>
            <w:tcW w:type="dxa" w:w="2880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2"/>
              </w:rPr>
              <w:t>Definition</w:t>
            </w:r>
          </w:p>
        </w:tc>
        <w:tc>
          <w:tcPr>
            <w:tcW w:type="dxa" w:w="2376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2"/>
              </w:rPr>
              <w:t>Examples</w:t>
            </w:r>
          </w:p>
        </w:tc>
        <w:tc>
          <w:tcPr>
            <w:tcW w:type="dxa" w:w="3240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2"/>
              </w:rPr>
              <w:t>Governance requirement</w:t>
            </w:r>
          </w:p>
        </w:tc>
      </w:tr>
      <w:tr>
        <w:tc>
          <w:tcPr>
            <w:tcW w:type="dxa" w:w="194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Operational integration</w:t>
            </w:r>
          </w:p>
        </w:tc>
        <w:tc>
          <w:tcPr>
            <w:tcW w:type="dxa" w:w="288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Moves work between systems during execution</w:t>
            </w:r>
          </w:p>
        </w:tc>
        <w:tc>
          <w:tcPr>
            <w:tcW w:type="dxa" w:w="237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Case to ticket, lead to opportunity, order to fulfillment</w:t>
            </w:r>
          </w:p>
        </w:tc>
        <w:tc>
          <w:tcPr>
            <w:tcW w:type="dxa" w:w="32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Requires workflow owner, failure path, SLA, and escalation rule</w:t>
            </w:r>
          </w:p>
        </w:tc>
      </w:tr>
      <w:tr>
        <w:tc>
          <w:tcPr>
            <w:tcW w:type="dxa" w:w="194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Data integration</w:t>
            </w:r>
          </w:p>
        </w:tc>
        <w:tc>
          <w:tcPr>
            <w:tcW w:type="dxa" w:w="288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Moves data for reporting, analytics, models, or downstream systems</w:t>
            </w:r>
          </w:p>
        </w:tc>
        <w:tc>
          <w:tcPr>
            <w:tcW w:type="dxa" w:w="237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ERP to warehouse, CRM to lakehouse, HRIS to BI</w:t>
            </w:r>
          </w:p>
        </w:tc>
        <w:tc>
          <w:tcPr>
            <w:tcW w:type="dxa" w:w="32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Requires data owner, lineage, transformation logic, freshness, and reconciliation</w:t>
            </w:r>
          </w:p>
        </w:tc>
      </w:tr>
      <w:tr>
        <w:tc>
          <w:tcPr>
            <w:tcW w:type="dxa" w:w="194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Control integration</w:t>
            </w:r>
          </w:p>
        </w:tc>
        <w:tc>
          <w:tcPr>
            <w:tcW w:type="dxa" w:w="288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Feeds or enforces access, approvals, risk, policy, audit, or compliance evidence</w:t>
            </w:r>
          </w:p>
        </w:tc>
        <w:tc>
          <w:tcPr>
            <w:tcW w:type="dxa" w:w="237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IAM provisioning, GRC evidence feed, policy exception</w:t>
            </w:r>
          </w:p>
        </w:tc>
        <w:tc>
          <w:tcPr>
            <w:tcW w:type="dxa" w:w="32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Requires control owner, audit trail, evidence, and exception handling</w:t>
            </w:r>
          </w:p>
        </w:tc>
      </w:tr>
      <w:tr>
        <w:tc>
          <w:tcPr>
            <w:tcW w:type="dxa" w:w="194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Experience integration</w:t>
            </w:r>
          </w:p>
        </w:tc>
        <w:tc>
          <w:tcPr>
            <w:tcW w:type="dxa" w:w="288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Connects customer, employee, partner, or vendor experiences across tools</w:t>
            </w:r>
          </w:p>
        </w:tc>
        <w:tc>
          <w:tcPr>
            <w:tcW w:type="dxa" w:w="237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Support ticket to customer portal, HR request to knowledge base</w:t>
            </w:r>
          </w:p>
        </w:tc>
        <w:tc>
          <w:tcPr>
            <w:tcW w:type="dxa" w:w="32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Requires experience owner, privacy review, quality checks, and communication rule</w:t>
            </w:r>
          </w:p>
        </w:tc>
      </w:tr>
      <w:tr>
        <w:tc>
          <w:tcPr>
            <w:tcW w:type="dxa" w:w="194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Knowledge integration</w:t>
            </w:r>
          </w:p>
        </w:tc>
        <w:tc>
          <w:tcPr>
            <w:tcW w:type="dxa" w:w="288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Moves documents, policies, decisions, templates, playbooks, or knowledge objects</w:t>
            </w:r>
          </w:p>
        </w:tc>
        <w:tc>
          <w:tcPr>
            <w:tcW w:type="dxa" w:w="237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Confluence to AI knowledge base, SharePoint to search index</w:t>
            </w:r>
          </w:p>
        </w:tc>
        <w:tc>
          <w:tcPr>
            <w:tcW w:type="dxa" w:w="32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Requires freshness, source-of-truth, versioning, and AI retrieval boundary</w:t>
            </w:r>
          </w:p>
        </w:tc>
      </w:tr>
      <w:tr>
        <w:tc>
          <w:tcPr>
            <w:tcW w:type="dxa" w:w="194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AI integration</w:t>
            </w:r>
          </w:p>
        </w:tc>
        <w:tc>
          <w:tcPr>
            <w:tcW w:type="dxa" w:w="288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Allows AI tools or agents to retrieve, summarize, recommend, update, or act through connected systems</w:t>
            </w:r>
          </w:p>
        </w:tc>
        <w:tc>
          <w:tcPr>
            <w:tcW w:type="dxa" w:w="237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Copilot reads CRM, agent updates Jira, RAG over policy docs</w:t>
            </w:r>
          </w:p>
        </w:tc>
        <w:tc>
          <w:tcPr>
            <w:tcW w:type="dxa" w:w="324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Requires permission boundary, source lineage, human review, logging, and kill switch</w:t>
            </w:r>
          </w:p>
        </w:tc>
      </w:tr>
      <w:tr>
        <w:tc>
          <w:tcPr>
            <w:tcW w:type="dxa" w:w="194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Shadow integration</w:t>
            </w:r>
          </w:p>
        </w:tc>
        <w:tc>
          <w:tcPr>
            <w:tcW w:type="dxa" w:w="288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Unapproved or unmanaged movement of data or work</w:t>
            </w:r>
          </w:p>
        </w:tc>
        <w:tc>
          <w:tcPr>
            <w:tcW w:type="dxa" w:w="237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Manual CSV exports, spreadsheet uploads, personal automations</w:t>
            </w:r>
          </w:p>
        </w:tc>
        <w:tc>
          <w:tcPr>
            <w:tcW w:type="dxa" w:w="324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Requires risk triage, unmet-need analysis, and migration plan</w:t>
            </w:r>
          </w:p>
        </w:tc>
      </w:tr>
    </w:tbl>
    <w:p>
      <w:pPr>
        <w:spacing w:after="20"/>
      </w:pP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6. Template: integration map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2448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2"/>
              </w:rPr>
              <w:t>Map element</w:t>
            </w:r>
          </w:p>
        </w:tc>
        <w:tc>
          <w:tcPr>
            <w:tcW w:type="dxa" w:w="4392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2"/>
              </w:rPr>
              <w:t>Entry</w:t>
            </w:r>
          </w:p>
        </w:tc>
        <w:tc>
          <w:tcPr>
            <w:tcW w:type="dxa" w:w="3600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2"/>
              </w:rPr>
              <w:t>Guidance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Integration ID</w:t>
            </w:r>
          </w:p>
        </w:tc>
        <w:tc>
          <w:tcPr>
            <w:tcW w:type="dxa" w:w="43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[INT-001]</w:t>
            </w:r>
          </w:p>
        </w:tc>
        <w:tc>
          <w:tcPr>
            <w:tcW w:type="dxa" w:w="360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Unique connector, automation, pipeline, bot, or handoff ID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Integration name</w:t>
            </w:r>
          </w:p>
        </w:tc>
        <w:tc>
          <w:tcPr>
            <w:tcW w:type="dxa" w:w="43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[Name]</w:t>
            </w:r>
          </w:p>
        </w:tc>
        <w:tc>
          <w:tcPr>
            <w:tcW w:type="dxa" w:w="360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Common business and technical name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Integration type</w:t>
            </w:r>
          </w:p>
        </w:tc>
        <w:tc>
          <w:tcPr>
            <w:tcW w:type="dxa" w:w="43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[API / event / ETL / file / RPA / manual / AI action]</w:t>
            </w:r>
          </w:p>
        </w:tc>
        <w:tc>
          <w:tcPr>
            <w:tcW w:type="dxa" w:w="360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Defines technical and governance pattern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Business purpose</w:t>
            </w:r>
          </w:p>
        </w:tc>
        <w:tc>
          <w:tcPr>
            <w:tcW w:type="dxa" w:w="43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[Workflow, decision, report, control, AI use case]</w:t>
            </w:r>
          </w:p>
        </w:tc>
        <w:tc>
          <w:tcPr>
            <w:tcW w:type="dxa" w:w="360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Why the integration exists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Source system</w:t>
            </w:r>
          </w:p>
        </w:tc>
        <w:tc>
          <w:tcPr>
            <w:tcW w:type="dxa" w:w="43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[System / team / vendor / document / human process]</w:t>
            </w:r>
          </w:p>
        </w:tc>
        <w:tc>
          <w:tcPr>
            <w:tcW w:type="dxa" w:w="360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Where data or work starts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Target system</w:t>
            </w:r>
          </w:p>
        </w:tc>
        <w:tc>
          <w:tcPr>
            <w:tcW w:type="dxa" w:w="43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[System / dashboard / workflow / AI tool / team]</w:t>
            </w:r>
          </w:p>
        </w:tc>
        <w:tc>
          <w:tcPr>
            <w:tcW w:type="dxa" w:w="360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Where data or work lands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Source owner</w:t>
            </w:r>
          </w:p>
        </w:tc>
        <w:tc>
          <w:tcPr>
            <w:tcW w:type="dxa" w:w="43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[Name / role]</w:t>
            </w:r>
          </w:p>
        </w:tc>
        <w:tc>
          <w:tcPr>
            <w:tcW w:type="dxa" w:w="360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Owns the source system, source data, or source workflow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Target owner</w:t>
            </w:r>
          </w:p>
        </w:tc>
        <w:tc>
          <w:tcPr>
            <w:tcW w:type="dxa" w:w="43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[Name / role]</w:t>
            </w:r>
          </w:p>
        </w:tc>
        <w:tc>
          <w:tcPr>
            <w:tcW w:type="dxa" w:w="360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Owns the downstream system or process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Critical objects moved</w:t>
            </w:r>
          </w:p>
        </w:tc>
        <w:tc>
          <w:tcPr>
            <w:tcW w:type="dxa" w:w="43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[Records, metrics, tickets, decisions, documents, evidence]</w:t>
            </w:r>
          </w:p>
        </w:tc>
        <w:tc>
          <w:tcPr>
            <w:tcW w:type="dxa" w:w="360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What moves across the connection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Trigger</w:t>
            </w:r>
          </w:p>
        </w:tc>
        <w:tc>
          <w:tcPr>
            <w:tcW w:type="dxa" w:w="43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[Schedule / event / user action / AI action / approval]</w:t>
            </w:r>
          </w:p>
        </w:tc>
        <w:tc>
          <w:tcPr>
            <w:tcW w:type="dxa" w:w="360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What starts the integration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Frequency / latency</w:t>
            </w:r>
          </w:p>
        </w:tc>
        <w:tc>
          <w:tcPr>
            <w:tcW w:type="dxa" w:w="43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[Real-time / daily / batch / ad hoc / manual]</w:t>
            </w:r>
          </w:p>
        </w:tc>
        <w:tc>
          <w:tcPr>
            <w:tcW w:type="dxa" w:w="360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Expected timing and freshness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Transformation logic</w:t>
            </w:r>
          </w:p>
        </w:tc>
        <w:tc>
          <w:tcPr>
            <w:tcW w:type="dxa" w:w="43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[Mapping, enrichment, filtering, scoring, validation]</w:t>
            </w:r>
          </w:p>
        </w:tc>
        <w:tc>
          <w:tcPr>
            <w:tcW w:type="dxa" w:w="360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How the object changes in transit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Validation checks</w:t>
            </w:r>
          </w:p>
        </w:tc>
        <w:tc>
          <w:tcPr>
            <w:tcW w:type="dxa" w:w="43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[Schema, completeness, reconciliation, quality, access]</w:t>
            </w:r>
          </w:p>
        </w:tc>
        <w:tc>
          <w:tcPr>
            <w:tcW w:type="dxa" w:w="360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How correctness is confirmed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Failure path</w:t>
            </w:r>
          </w:p>
        </w:tc>
        <w:tc>
          <w:tcPr>
            <w:tcW w:type="dxa" w:w="43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[Alert, retry, ticket, owner, escalation, recovery]</w:t>
            </w:r>
          </w:p>
        </w:tc>
        <w:tc>
          <w:tcPr>
            <w:tcW w:type="dxa" w:w="360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What happens when it breaks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Observability signal</w:t>
            </w:r>
          </w:p>
        </w:tc>
        <w:tc>
          <w:tcPr>
            <w:tcW w:type="dxa" w:w="43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[Log, SLA, freshness monitor, error rate, queue depth]</w:t>
            </w:r>
          </w:p>
        </w:tc>
        <w:tc>
          <w:tcPr>
            <w:tcW w:type="dxa" w:w="360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How health is monitored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AI usage boundary</w:t>
            </w:r>
          </w:p>
        </w:tc>
        <w:tc>
          <w:tcPr>
            <w:tcW w:type="dxa" w:w="43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[Read / summarize / classify / trigger / update / act / blocked]</w:t>
            </w:r>
          </w:p>
        </w:tc>
        <w:tc>
          <w:tcPr>
            <w:tcW w:type="dxa" w:w="360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Defines what AI can do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Risk tier</w:t>
            </w:r>
          </w:p>
        </w:tc>
        <w:tc>
          <w:tcPr>
            <w:tcW w:type="dxa" w:w="43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[Low / moderate / high / critical / regulated]</w:t>
            </w:r>
          </w:p>
        </w:tc>
        <w:tc>
          <w:tcPr>
            <w:tcW w:type="dxa" w:w="360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Governance intensity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Evidence link</w:t>
            </w:r>
          </w:p>
        </w:tc>
        <w:tc>
          <w:tcPr>
            <w:tcW w:type="dxa" w:w="43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[Runbook, log, control, ticket, lineage, decision log]</w:t>
            </w:r>
          </w:p>
        </w:tc>
        <w:tc>
          <w:tcPr>
            <w:tcW w:type="dxa" w:w="360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Proof and traceability</w:t>
            </w:r>
          </w:p>
        </w:tc>
      </w:tr>
      <w:tr>
        <w:tc>
          <w:tcPr>
            <w:tcW w:type="dxa" w:w="24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Lifecycle state</w:t>
            </w:r>
          </w:p>
        </w:tc>
        <w:tc>
          <w:tcPr>
            <w:tcW w:type="dxa" w:w="43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[Discover / active / monitored / governed / replace / retire]</w:t>
            </w:r>
          </w:p>
        </w:tc>
        <w:tc>
          <w:tcPr>
            <w:tcW w:type="dxa" w:w="360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Current operating status</w:t>
            </w:r>
          </w:p>
        </w:tc>
      </w:tr>
      <w:tr>
        <w:tc>
          <w:tcPr>
            <w:tcW w:type="dxa" w:w="24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Review date</w:t>
            </w:r>
          </w:p>
        </w:tc>
        <w:tc>
          <w:tcPr>
            <w:tcW w:type="dxa" w:w="43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[Date]</w:t>
            </w:r>
          </w:p>
        </w:tc>
        <w:tc>
          <w:tcPr>
            <w:tcW w:type="dxa" w:w="360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2"/>
              </w:rPr>
              <w:t>Next ownership, control, and AI boundary review</w:t>
            </w:r>
          </w:p>
        </w:tc>
      </w:tr>
    </w:tbl>
    <w:p>
      <w:pPr>
        <w:spacing w:after="20"/>
      </w:pP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7. Version for 500+ employee company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85"/>
        <w:gridCol w:w="5285"/>
      </w:tblGrid>
      <w:tr>
        <w:trPr>
          <w:tblHeader w:val="true"/>
        </w:trPr>
        <w:tc>
          <w:tcPr>
            <w:tcW w:type="dxa" w:w="2592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4"/>
              </w:rPr>
              <w:t>Dimension</w:t>
            </w:r>
          </w:p>
        </w:tc>
        <w:tc>
          <w:tcPr>
            <w:tcW w:type="dxa" w:w="7848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4"/>
              </w:rPr>
              <w:t>Recommended pattern</w:t>
            </w:r>
          </w:p>
        </w:tc>
      </w:tr>
      <w:tr>
        <w:tc>
          <w:tcPr>
            <w:tcW w:type="dxa" w:w="25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Design intent</w:t>
            </w:r>
          </w:p>
        </w:tc>
        <w:tc>
          <w:tcPr>
            <w:tcW w:type="dxa" w:w="78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Create practical visibility into the integrations that keep the company running before tool sprawl and AI pilots create hidden risk.</w:t>
            </w:r>
          </w:p>
        </w:tc>
      </w:tr>
      <w:tr>
        <w:tc>
          <w:tcPr>
            <w:tcW w:type="dxa" w:w="25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Minimum scope</w:t>
            </w:r>
          </w:p>
        </w:tc>
        <w:tc>
          <w:tcPr>
            <w:tcW w:type="dxa" w:w="78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Map the top 25 to 50 integrations across revenue, delivery, finance, people, data, knowledge, and active AI workflows.</w:t>
            </w:r>
          </w:p>
        </w:tc>
      </w:tr>
      <w:tr>
        <w:tc>
          <w:tcPr>
            <w:tcW w:type="dxa" w:w="25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Operating pattern</w:t>
            </w:r>
          </w:p>
        </w:tc>
        <w:tc>
          <w:tcPr>
            <w:tcW w:type="dxa" w:w="78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Monthly review of critical integrations, manual handoffs, owner gaps, and AI-connected workflows.</w:t>
            </w:r>
          </w:p>
        </w:tc>
      </w:tr>
      <w:tr>
        <w:tc>
          <w:tcPr>
            <w:tcW w:type="dxa" w:w="25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AI focus</w:t>
            </w:r>
          </w:p>
        </w:tc>
        <w:tc>
          <w:tcPr>
            <w:tcW w:type="dxa" w:w="78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Do not let AI tools act through integrations until the source, target, owner, review rule, and audit trail are clear.</w:t>
            </w:r>
          </w:p>
        </w:tc>
      </w:tr>
      <w:tr>
        <w:tc>
          <w:tcPr>
            <w:tcW w:type="dxa" w:w="25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Governance need</w:t>
            </w:r>
          </w:p>
        </w:tc>
        <w:tc>
          <w:tcPr>
            <w:tcW w:type="dxa" w:w="78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Name owners, define failure paths, document manual handoffs, and establish source-of-truth relationships.</w:t>
            </w:r>
          </w:p>
        </w:tc>
      </w:tr>
      <w:tr>
        <w:tc>
          <w:tcPr>
            <w:tcW w:type="dxa" w:w="25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Red flags</w:t>
            </w:r>
          </w:p>
        </w:tc>
        <w:tc>
          <w:tcPr>
            <w:tcW w:type="dxa" w:w="78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Spreadsheet uploads, founder/operator-held logic, no support owner, daily CSV exports, AI connected to local files, and no failure alerts.</w:t>
            </w:r>
          </w:p>
        </w:tc>
      </w:tr>
    </w:tbl>
    <w:p>
      <w:pPr>
        <w:spacing w:after="20"/>
      </w:pP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Start with integrations that support revenue, customer support, delivery, finance, people operations, reporting, and active AI pilots.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Map manual handoffs before automation decisions are made.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Name owners and failure paths before adding more connectors.</w:t>
      </w: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8. Version for 5,000+ employee company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85"/>
        <w:gridCol w:w="5285"/>
      </w:tblGrid>
      <w:tr>
        <w:trPr>
          <w:tblHeader w:val="true"/>
        </w:trPr>
        <w:tc>
          <w:tcPr>
            <w:tcW w:type="dxa" w:w="2592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4"/>
              </w:rPr>
              <w:t>Dimension</w:t>
            </w:r>
          </w:p>
        </w:tc>
        <w:tc>
          <w:tcPr>
            <w:tcW w:type="dxa" w:w="7848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4"/>
              </w:rPr>
              <w:t>Recommended pattern</w:t>
            </w:r>
          </w:p>
        </w:tc>
      </w:tr>
      <w:tr>
        <w:tc>
          <w:tcPr>
            <w:tcW w:type="dxa" w:w="25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Design intent</w:t>
            </w:r>
          </w:p>
        </w:tc>
        <w:tc>
          <w:tcPr>
            <w:tcW w:type="dxa" w:w="78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Move from scattered connector knowledge to domain-level integration governance across platforms, data products, controls, and AI use cases.</w:t>
            </w:r>
          </w:p>
        </w:tc>
      </w:tr>
      <w:tr>
        <w:tc>
          <w:tcPr>
            <w:tcW w:type="dxa" w:w="25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Minimum scope</w:t>
            </w:r>
          </w:p>
        </w:tc>
        <w:tc>
          <w:tcPr>
            <w:tcW w:type="dxa" w:w="78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Map Tier 1 integrations, critical data pipelines, workflow automations, cross-functional handoffs, and AI-connected systems.</w:t>
            </w:r>
          </w:p>
        </w:tc>
      </w:tr>
      <w:tr>
        <w:tc>
          <w:tcPr>
            <w:tcW w:type="dxa" w:w="25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Operating pattern</w:t>
            </w:r>
          </w:p>
        </w:tc>
        <w:tc>
          <w:tcPr>
            <w:tcW w:type="dxa" w:w="78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Quarterly integration governance by business domain with architecture, platform, data, risk, and transformation owners.</w:t>
            </w:r>
          </w:p>
        </w:tc>
      </w:tr>
      <w:tr>
        <w:tc>
          <w:tcPr>
            <w:tcW w:type="dxa" w:w="25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AI focus</w:t>
            </w:r>
          </w:p>
        </w:tc>
        <w:tc>
          <w:tcPr>
            <w:tcW w:type="dxa" w:w="78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Classify integrations by AI usage boundary: retrieve, summarize, recommend, trigger, update, approve, act, or blocked.</w:t>
            </w:r>
          </w:p>
        </w:tc>
      </w:tr>
      <w:tr>
        <w:tc>
          <w:tcPr>
            <w:tcW w:type="dxa" w:w="25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Governance need</w:t>
            </w:r>
          </w:p>
        </w:tc>
        <w:tc>
          <w:tcPr>
            <w:tcW w:type="dxa" w:w="78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Connect integration records to platform maps, data lineage maps, source-of-truth maps, decision logs, and control evidence.</w:t>
            </w:r>
          </w:p>
        </w:tc>
      </w:tr>
      <w:tr>
        <w:tc>
          <w:tcPr>
            <w:tcW w:type="dxa" w:w="25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Red flags</w:t>
            </w:r>
          </w:p>
        </w:tc>
        <w:tc>
          <w:tcPr>
            <w:tcW w:type="dxa" w:w="78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Duplicate connectors, brittle automations, inconsistent customer or employee data, weak pipeline ownership, and unmanaged vendor integrations.</w:t>
            </w:r>
          </w:p>
        </w:tc>
      </w:tr>
    </w:tbl>
    <w:p>
      <w:pPr>
        <w:spacing w:after="20"/>
      </w:pP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Organize integrations by business domain, critical object, platform category, and risk tier.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Connect integration records to source-of-truth maps, data lineage maps, workflow inventory, and decision logs.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Use integration health, duplication, control exceptions, and AI boundary gaps to drive architecture decisions.</w:t>
      </w: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9. Version for 10,000+ employee company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85"/>
        <w:gridCol w:w="5285"/>
      </w:tblGrid>
      <w:tr>
        <w:trPr>
          <w:tblHeader w:val="true"/>
        </w:trPr>
        <w:tc>
          <w:tcPr>
            <w:tcW w:type="dxa" w:w="2592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4"/>
              </w:rPr>
              <w:t>Dimension</w:t>
            </w:r>
          </w:p>
        </w:tc>
        <w:tc>
          <w:tcPr>
            <w:tcW w:type="dxa" w:w="7848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4"/>
              </w:rPr>
              <w:t>Recommended pattern</w:t>
            </w:r>
          </w:p>
        </w:tc>
      </w:tr>
      <w:tr>
        <w:tc>
          <w:tcPr>
            <w:tcW w:type="dxa" w:w="25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Design intent</w:t>
            </w:r>
          </w:p>
        </w:tc>
        <w:tc>
          <w:tcPr>
            <w:tcW w:type="dxa" w:w="78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Create enterprise integration control across business units, shared services, regulated data, external partners, AI agents, and control systems.</w:t>
            </w:r>
          </w:p>
        </w:tc>
      </w:tr>
      <w:tr>
        <w:tc>
          <w:tcPr>
            <w:tcW w:type="dxa" w:w="25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Minimum scope</w:t>
            </w:r>
          </w:p>
        </w:tc>
        <w:tc>
          <w:tcPr>
            <w:tcW w:type="dxa" w:w="78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Map critical enterprise integrations, regulated data flows, external data sharing, high-risk automation, model inputs, agent tool-use paths, and control evidence feeds.</w:t>
            </w:r>
          </w:p>
        </w:tc>
      </w:tr>
      <w:tr>
        <w:tc>
          <w:tcPr>
            <w:tcW w:type="dxa" w:w="25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Operating pattern</w:t>
            </w:r>
          </w:p>
        </w:tc>
        <w:tc>
          <w:tcPr>
            <w:tcW w:type="dxa" w:w="78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Enterprise integration council, domain integration owners, automated dependency discovery, control evidence packs, and architecture exception governance.</w:t>
            </w:r>
          </w:p>
        </w:tc>
      </w:tr>
      <w:tr>
        <w:tc>
          <w:tcPr>
            <w:tcW w:type="dxa" w:w="25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AI focus</w:t>
            </w:r>
          </w:p>
        </w:tc>
        <w:tc>
          <w:tcPr>
            <w:tcW w:type="dxa" w:w="78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AI agents require integration-specific permission boundaries, model risk tiering, source lineage, human review, tool-use logs, and kill-switch rules.</w:t>
            </w:r>
          </w:p>
        </w:tc>
      </w:tr>
      <w:tr>
        <w:tc>
          <w:tcPr>
            <w:tcW w:type="dxa" w:w="259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Governance need</w:t>
            </w:r>
          </w:p>
        </w:tc>
        <w:tc>
          <w:tcPr>
            <w:tcW w:type="dxa" w:w="784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Tie integration changes to architecture, security, privacy, procurement, GRC, data governance, model risk, and executive decision rights.</w:t>
            </w:r>
          </w:p>
        </w:tc>
      </w:tr>
      <w:tr>
        <w:tc>
          <w:tcPr>
            <w:tcW w:type="dxa" w:w="259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Red flags</w:t>
            </w:r>
          </w:p>
        </w:tc>
        <w:tc>
          <w:tcPr>
            <w:tcW w:type="dxa" w:w="784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4"/>
              </w:rPr>
              <w:t>Silent API dependency, federated integration sprawl, unmanaged event consumers, vendor black boxes, external data leakage, and AI actions without approval authority.</w:t>
            </w:r>
          </w:p>
        </w:tc>
      </w:tr>
    </w:tbl>
    <w:p>
      <w:pPr>
        <w:spacing w:after="20"/>
      </w:pP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Treat the integration map as an enterprise control layer across systems, data domains, workflows, external partners, controls, and AI agents.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Automate dependency discovery where possible, but keep ownership, risk tiering, and AI action permissions human-approved.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Connect integration change to architecture, security, privacy, procurement, data governance, model risk, and executive escalation.</w:t>
      </w: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10. Scoring logic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2520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3"/>
              </w:rPr>
              <w:t>Dimension</w:t>
            </w:r>
          </w:p>
        </w:tc>
        <w:tc>
          <w:tcPr>
            <w:tcW w:type="dxa" w:w="936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3"/>
              </w:rPr>
              <w:t>Score</w:t>
            </w:r>
          </w:p>
        </w:tc>
        <w:tc>
          <w:tcPr>
            <w:tcW w:type="dxa" w:w="6984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3"/>
              </w:rPr>
              <w:t>What good looks like</w:t>
            </w:r>
          </w:p>
        </w:tc>
      </w:tr>
      <w:tr>
        <w:tc>
          <w:tcPr>
            <w:tcW w:type="dxa" w:w="25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Ownership clarity</w:t>
            </w:r>
          </w:p>
        </w:tc>
        <w:tc>
          <w:tcPr>
            <w:tcW w:type="dxa" w:w="93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0-5</w:t>
            </w:r>
          </w:p>
        </w:tc>
        <w:tc>
          <w:tcPr>
            <w:tcW w:type="dxa" w:w="698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Source, target, data, workflow, technical, and control owners are named for critical integrations.</w:t>
            </w:r>
          </w:p>
        </w:tc>
      </w:tr>
      <w:tr>
        <w:tc>
          <w:tcPr>
            <w:tcW w:type="dxa" w:w="25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Purpose clarity</w:t>
            </w:r>
          </w:p>
        </w:tc>
        <w:tc>
          <w:tcPr>
            <w:tcW w:type="dxa" w:w="93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0-5</w:t>
            </w:r>
          </w:p>
        </w:tc>
        <w:tc>
          <w:tcPr>
            <w:tcW w:type="dxa" w:w="698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The business purpose, supported workflow, decision, data object, or control is explicit.</w:t>
            </w:r>
          </w:p>
        </w:tc>
      </w:tr>
      <w:tr>
        <w:tc>
          <w:tcPr>
            <w:tcW w:type="dxa" w:w="25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Lineage clarity</w:t>
            </w:r>
          </w:p>
        </w:tc>
        <w:tc>
          <w:tcPr>
            <w:tcW w:type="dxa" w:w="93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0-5</w:t>
            </w:r>
          </w:p>
        </w:tc>
        <w:tc>
          <w:tcPr>
            <w:tcW w:type="dxa" w:w="698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Source, target, transformation logic, downstream consumers, and evidence links are traceable.</w:t>
            </w:r>
          </w:p>
        </w:tc>
      </w:tr>
      <w:tr>
        <w:tc>
          <w:tcPr>
            <w:tcW w:type="dxa" w:w="25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Reliability visibility</w:t>
            </w:r>
          </w:p>
        </w:tc>
        <w:tc>
          <w:tcPr>
            <w:tcW w:type="dxa" w:w="93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0-5</w:t>
            </w:r>
          </w:p>
        </w:tc>
        <w:tc>
          <w:tcPr>
            <w:tcW w:type="dxa" w:w="698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Failure detection, SLA, retry, monitoring, reconciliation, and support path are defined.</w:t>
            </w:r>
          </w:p>
        </w:tc>
      </w:tr>
      <w:tr>
        <w:tc>
          <w:tcPr>
            <w:tcW w:type="dxa" w:w="25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Governance strength</w:t>
            </w:r>
          </w:p>
        </w:tc>
        <w:tc>
          <w:tcPr>
            <w:tcW w:type="dxa" w:w="93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0-5</w:t>
            </w:r>
          </w:p>
        </w:tc>
        <w:tc>
          <w:tcPr>
            <w:tcW w:type="dxa" w:w="698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Access, approvals, privacy, retention, audit, exceptions, and controls are attached.</w:t>
            </w:r>
          </w:p>
        </w:tc>
      </w:tr>
      <w:tr>
        <w:tc>
          <w:tcPr>
            <w:tcW w:type="dxa" w:w="25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AI boundary clarity</w:t>
            </w:r>
          </w:p>
        </w:tc>
        <w:tc>
          <w:tcPr>
            <w:tcW w:type="dxa" w:w="93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0-5</w:t>
            </w:r>
          </w:p>
        </w:tc>
        <w:tc>
          <w:tcPr>
            <w:tcW w:type="dxa" w:w="698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AI retrieval, trigger, update, approval, and action permissions are explicit and reviewed.</w:t>
            </w:r>
          </w:p>
        </w:tc>
      </w:tr>
      <w:tr>
        <w:tc>
          <w:tcPr>
            <w:tcW w:type="dxa" w:w="252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Manual handoff exposure</w:t>
            </w:r>
          </w:p>
        </w:tc>
        <w:tc>
          <w:tcPr>
            <w:tcW w:type="dxa" w:w="936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0-5</w:t>
            </w:r>
          </w:p>
        </w:tc>
        <w:tc>
          <w:tcPr>
            <w:tcW w:type="dxa" w:w="6984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Manual exports, uploads, spreadsheets, emails, and chat-based movement are visible and governed.</w:t>
            </w:r>
          </w:p>
        </w:tc>
      </w:tr>
      <w:tr>
        <w:tc>
          <w:tcPr>
            <w:tcW w:type="dxa" w:w="252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Lifecycle discipline</w:t>
            </w:r>
          </w:p>
        </w:tc>
        <w:tc>
          <w:tcPr>
            <w:tcW w:type="dxa" w:w="936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0-5</w:t>
            </w:r>
          </w:p>
        </w:tc>
        <w:tc>
          <w:tcPr>
            <w:tcW w:type="dxa" w:w="6984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Integrations are actively governed as discover, pilot, active, monitored, governed, replace, retire, or exception.</w:t>
            </w:r>
          </w:p>
        </w:tc>
      </w:tr>
    </w:tbl>
    <w:p>
      <w:pPr>
        <w:spacing w:after="20"/>
      </w:pPr>
    </w:p>
    <w:p>
      <w:pPr>
        <w:spacing w:after="60" w:before="0"/>
      </w:pPr>
      <w:r>
        <w:rPr>
          <w:rFonts w:ascii="Aptos" w:hAnsi="Aptos" w:eastAsia="Aptos"/>
          <w:b/>
          <w:i w:val="0"/>
          <w:color w:val="2D3924"/>
          <w:sz w:val="16"/>
        </w:rPr>
        <w:t>Suggested readiness score: average the eight scores, then classify 0-1.9 as Fragmented, 2.0-3.4 as Mapped, 3.5-4.4 as Governed, and 4.5-5.0 as AI-ready.</w:t>
      </w: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11. AI prompts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Given this integration inventory, classify each connection by integration type, risk tier, lifecycle state, source-of-truth relationship, and AI usage boundary.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Identify owner gaps, brittle handoffs, duplicate connectors, undocumented manual integrations, stale data paths, weak failure handling, and ungoverned AI actions.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Score each integration from 0 to 5 across ownership clarity, purpose clarity, lineage clarity, reliability visibility, governance strength, AI boundary clarity, manual handoff exposure, and lifecycle discipline.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Generate an integration dependency map showing source systems, target systems, critical objects moved, transformation logic, downstream consumers, controls, AI consumers, and failure paths.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Recommend whether each integration should be documented, monitored, governed harder, automated, replaced, consolidated, retired, or accepted as an exception.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Create a Lapemo ingestion plan that converts this integration map into integration objects, platform objects, data lineage objects, control objects, workflow objects, evidence objects, and AI boundary rules.</w:t>
      </w: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12. Validation rules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Every critical integration must have a source owner, target owner, and technical owner.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Every integration moving critical data must identify the data owner, source-of-truth relationship, transformation logic, freshness expectation, and validation checks.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Every workflow-critical integration must have a workflow owner, failure path, escalation path, and recovery rule.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Every integration used by AI must have an approved AI usage boundary, human review rule, source lineage, and audit trail.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No AI agent should trigger, update, approve, or act through an integration unless decision rights and control rules are defined.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Manual handoffs must be mapped and scored instead of ignored because they often represent the highest automation and AI risk.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A connection cannot be classified as governed if failure detection, owner notification, evidence, and review cadence are missing.</w:t>
      </w:r>
    </w:p>
    <w:p>
      <w:pPr>
        <w:pStyle w:val="ListBullet"/>
        <w:spacing w:after="30" w:before="0"/>
      </w:pPr>
      <w:r>
        <w:rPr>
          <w:rFonts w:ascii="Aptos" w:hAnsi="Aptos" w:eastAsia="Aptos"/>
          <w:color w:val="1B1C19"/>
          <w:sz w:val="16"/>
        </w:rPr>
        <w:t>Status must never be encoded only by color; use labels such as active, monitored, governed, constrained, duplicate, replace, retire, exception, blocked, or disputed.</w:t>
      </w: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13. Lapemo ingestion mapping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2232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3"/>
              </w:rPr>
              <w:t>Lapemo object</w:t>
            </w:r>
          </w:p>
        </w:tc>
        <w:tc>
          <w:tcPr>
            <w:tcW w:type="dxa" w:w="3528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3"/>
              </w:rPr>
              <w:t>Fields / entities</w:t>
            </w:r>
          </w:p>
        </w:tc>
        <w:tc>
          <w:tcPr>
            <w:tcW w:type="dxa" w:w="4680"/>
            <w:shd w:fill="2D3924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55" w:type="dxa"/>
              <w:start w:w="60" w:type="dxa"/>
              <w:bottom w:w="55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 w:eastAsia="Aptos"/>
                <w:b/>
                <w:color w:val="FFFFFF"/>
                <w:sz w:val="13"/>
              </w:rPr>
              <w:t>Use</w:t>
            </w:r>
          </w:p>
        </w:tc>
      </w:tr>
      <w:tr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Knowledge object</w:t>
            </w:r>
          </w:p>
        </w:tc>
        <w:tc>
          <w:tcPr>
            <w:tcW w:type="dxa" w:w="352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Integration Map</w:t>
            </w:r>
          </w:p>
        </w:tc>
        <w:tc>
          <w:tcPr>
            <w:tcW w:type="dxa" w:w="468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Canonical reusable artifact for system dependency control and AI-safe connectivity.</w:t>
            </w:r>
          </w:p>
        </w:tc>
      </w:tr>
      <w:tr>
        <w:tc>
          <w:tcPr>
            <w:tcW w:type="dxa" w:w="223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Integration object</w:t>
            </w:r>
          </w:p>
        </w:tc>
        <w:tc>
          <w:tcPr>
            <w:tcW w:type="dxa" w:w="352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Integration ID, type, source, target, trigger, lifecycle, risk tier</w:t>
            </w:r>
          </w:p>
        </w:tc>
        <w:tc>
          <w:tcPr>
            <w:tcW w:type="dxa" w:w="468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Creates the enterprise integration inventory and dependency layer.</w:t>
            </w:r>
          </w:p>
        </w:tc>
      </w:tr>
      <w:tr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Platform object</w:t>
            </w:r>
          </w:p>
        </w:tc>
        <w:tc>
          <w:tcPr>
            <w:tcW w:type="dxa" w:w="352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Source system, target system, upstream and downstream dependencies</w:t>
            </w:r>
          </w:p>
        </w:tc>
        <w:tc>
          <w:tcPr>
            <w:tcW w:type="dxa" w:w="468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Connects integrations to platforms and systems of record.</w:t>
            </w:r>
          </w:p>
        </w:tc>
      </w:tr>
      <w:tr>
        <w:tc>
          <w:tcPr>
            <w:tcW w:type="dxa" w:w="223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Ownership object</w:t>
            </w:r>
          </w:p>
        </w:tc>
        <w:tc>
          <w:tcPr>
            <w:tcW w:type="dxa" w:w="352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Source owner, target owner, data owner, workflow owner, technical owner, control owner</w:t>
            </w:r>
          </w:p>
        </w:tc>
        <w:tc>
          <w:tcPr>
            <w:tcW w:type="dxa" w:w="468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Connects every connection to accountable humans.</w:t>
            </w:r>
          </w:p>
        </w:tc>
      </w:tr>
      <w:tr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Data lineage object</w:t>
            </w:r>
          </w:p>
        </w:tc>
        <w:tc>
          <w:tcPr>
            <w:tcW w:type="dxa" w:w="352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Critical objects moved, transformation logic, freshness, quality checks, downstream consumers</w:t>
            </w:r>
          </w:p>
        </w:tc>
        <w:tc>
          <w:tcPr>
            <w:tcW w:type="dxa" w:w="468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Shows how data flows into decisions, dashboards, and AI.</w:t>
            </w:r>
          </w:p>
        </w:tc>
      </w:tr>
      <w:tr>
        <w:tc>
          <w:tcPr>
            <w:tcW w:type="dxa" w:w="223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Workflow object</w:t>
            </w:r>
          </w:p>
        </w:tc>
        <w:tc>
          <w:tcPr>
            <w:tcW w:type="dxa" w:w="352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Trigger, process path, handoffs, decision points, exception routing</w:t>
            </w:r>
          </w:p>
        </w:tc>
        <w:tc>
          <w:tcPr>
            <w:tcW w:type="dxa" w:w="468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Links integrations to recurring work and automation candidates.</w:t>
            </w:r>
          </w:p>
        </w:tc>
      </w:tr>
      <w:tr>
        <w:tc>
          <w:tcPr>
            <w:tcW w:type="dxa" w:w="2232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Governance object</w:t>
            </w:r>
          </w:p>
        </w:tc>
        <w:tc>
          <w:tcPr>
            <w:tcW w:type="dxa" w:w="3528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Access, approvals, retention, privacy, audit, exception, evidence link</w:t>
            </w:r>
          </w:p>
        </w:tc>
        <w:tc>
          <w:tcPr>
            <w:tcW w:type="dxa" w:w="4680"/>
            <w:shd w:fill="FFFFFF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Connects integrations to controls and auditability.</w:t>
            </w:r>
          </w:p>
        </w:tc>
      </w:tr>
      <w:tr>
        <w:tc>
          <w:tcPr>
            <w:tcW w:type="dxa" w:w="2232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AI object</w:t>
            </w:r>
          </w:p>
        </w:tc>
        <w:tc>
          <w:tcPr>
            <w:tcW w:type="dxa" w:w="3528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AI usage boundary, permissions, human review rule, agent logs, kill switch</w:t>
            </w:r>
          </w:p>
        </w:tc>
        <w:tc>
          <w:tcPr>
            <w:tcW w:type="dxa" w:w="4680"/>
            <w:shd w:fill="F0EEE9"/>
            <w:tcBorders>
              <w:top w:val="single" w:sz="4" w:space="0" w:color="E2DFD7"/>
              <w:left w:val="single" w:sz="4" w:space="0" w:color="E2DFD7"/>
              <w:bottom w:val="single" w:sz="4" w:space="0" w:color="E2DFD7"/>
              <w:right w:val="single" w:sz="4" w:space="0" w:color="E2DFD7"/>
            </w:tcBorders>
            <w:tcMar>
              <w:top w:w="48" w:type="dxa"/>
              <w:start w:w="54" w:type="dxa"/>
              <w:bottom w:w="48" w:type="dxa"/>
              <w:end w:w="54" w:type="dxa"/>
            </w:tcMar>
            <w:vAlign w:val="top"/>
          </w:tcPr>
          <w:p>
            <w:pPr>
              <w:spacing w:after="0" w:before="0"/>
            </w:pPr>
            <w:r>
              <w:rPr>
                <w:rFonts w:ascii="Aptos" w:hAnsi="Aptos" w:eastAsia="Aptos"/>
                <w:color w:val="1B1C19"/>
                <w:sz w:val="13"/>
              </w:rPr>
              <w:t>Defines what AI can safely do through connected systems.</w:t>
            </w:r>
          </w:p>
        </w:tc>
      </w:tr>
    </w:tbl>
    <w:p>
      <w:pPr>
        <w:spacing w:after="20"/>
      </w:pPr>
    </w:p>
    <w:p>
      <w:pPr>
        <w:spacing w:before="180" w:after="80"/>
      </w:pPr>
      <w:r>
        <w:rPr>
          <w:rFonts w:ascii="Aptos" w:hAnsi="Aptos" w:eastAsia="Aptos"/>
          <w:b/>
          <w:color w:val="1B1C19"/>
          <w:sz w:val="30"/>
        </w:rPr>
        <w:t>14. Reusable knowledge-object model</w:t>
      </w:r>
    </w:p>
    <w:p>
      <w:pPr>
        <w:spacing w:after="60" w:before="0"/>
      </w:pPr>
      <w:r>
        <w:rPr>
          <w:rFonts w:ascii="Aptos" w:hAnsi="Aptos" w:eastAsia="Aptos"/>
          <w:b w:val="0"/>
          <w:i w:val="0"/>
          <w:color w:val="1B1C19"/>
          <w:sz w:val="17"/>
        </w:rPr>
        <w:t>This artifact should exist in four synchronized forms: a human-readable guide, a downloadable template, a machine-readable JSON object, and a guided Lapemo skill. The knowledge object should be versioned, reviewed, scored, and connected to system data over time. It should not auto-update silently. Lapemo should flag missing owners, brittle integrations, undocumented manual handoffs, stale data movement, weak failure paths, duplicate connectors, ungoverned AI access, and high-risk dependency changes for human approval.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35" w:bottom="792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 w:eastAsia="Aptos"/>
        <w:color w:val="5E605A"/>
        <w:sz w:val="14"/>
      </w:rPr>
      <w:t>Reusable artifact package: DOCX · PDF · Markdown · JSON skill schema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 w:eastAsia="Aptos"/>
        <w:color w:val="5E605A"/>
        <w:sz w:val="14"/>
      </w:rPr>
      <w:t>LPM / Lapemo Knowledge Object  |  Integration Map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LPM Reusable Integration Map v1</dc:title>
  <dc:subject>LPM Knowledge Object for mapping enterprise integrations, dependencies, controls, and AI boundaries</dc:subject>
  <dc:creator>LPM / Lapemo</dc:creator>
  <cp:keywords>LPM, Lapemo, Integration Map, Platform Structure, Data Lineage, AI Governance, Enterprise Architecture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