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left"/>
      </w:pPr>
      <w:r>
        <w:rPr>
          <w:rFonts w:ascii="Arial" w:hAnsi="Arial" w:eastAsia="Arial"/>
          <w:b/>
          <w:color w:val="556348"/>
          <w:sz w:val="18"/>
        </w:rPr>
        <w:t>LARGE PEOPLE MODEL</w:t>
      </w:r>
    </w:p>
    <w:p>
      <w:pPr>
        <w:spacing w:after="40" w:before="360"/>
      </w:pPr>
      <w:r>
        <w:rPr>
          <w:rFonts w:ascii="Arial" w:hAnsi="Arial" w:eastAsia="Arial"/>
          <w:b/>
          <w:color w:val="2D3924"/>
          <w:sz w:val="64"/>
        </w:rPr>
        <w:t>Reusable Ownership Map</w:t>
      </w:r>
    </w:p>
    <w:p>
      <w:pPr>
        <w:spacing w:after="200"/>
      </w:pPr>
      <w:r>
        <w:rPr>
          <w:rFonts w:ascii="Arial" w:hAnsi="Arial" w:eastAsia="Arial"/>
          <w:color w:val="1B1C19"/>
          <w:sz w:val="26"/>
        </w:rPr>
        <w:t>Three operating-model templates for companies scaling AI: 500, 5,000, and 10,000+ employees.</w:t>
      </w:r>
    </w:p>
    <w:tbl>
      <w:tblPr>
        <w:tblW w:type="auto" w:w="0"/>
        <w:jc w:val="center"/>
        <w:tblLook w:firstColumn="1" w:firstRow="1" w:lastColumn="0" w:lastRow="0" w:noHBand="0" w:noVBand="1" w:val="04A0"/>
      </w:tblPr>
      <w:tblGrid>
        <w:gridCol w:w="14256"/>
      </w:tblGrid>
      <w:tr>
        <w:tc>
          <w:tcPr>
            <w:tcW w:type="dxa" w:w="14256"/>
            <w:shd w:fill="D9E8C7"/>
            <w:tcBorders>
              <w:top w:val="single" w:sz="8" w:space="0" w:color="C9C6BC"/>
              <w:left w:val="single" w:sz="8" w:space="0" w:color="C9C6BC"/>
              <w:bottom w:val="single" w:sz="8" w:space="0" w:color="C9C6BC"/>
              <w:right w:val="single" w:sz="8" w:space="0" w:color="C9C6BC"/>
              <w:insideH w:val="single" w:sz="8" w:space="0" w:color="C9C6BC"/>
              <w:insideV w:val="single" w:sz="8" w:space="0" w:color="C9C6BC"/>
            </w:tcBorders>
            <w:tcMar>
              <w:top w:w="140" w:type="dxa"/>
              <w:start w:w="170" w:type="dxa"/>
              <w:bottom w:w="140" w:type="dxa"/>
              <w:end w:w="170" w:type="dxa"/>
            </w:tcMar>
          </w:tcPr>
          <w:p>
            <w:pPr>
              <w:spacing w:after="80"/>
            </w:pPr>
            <w:r>
              <w:rPr>
                <w:rFonts w:ascii="Arial" w:hAnsi="Arial" w:eastAsia="Arial"/>
                <w:b/>
                <w:color w:val="2D3924"/>
                <w:sz w:val="20"/>
              </w:rPr>
              <w:t>Core principle</w:t>
            </w:r>
          </w:p>
          <w:p>
            <w:pPr>
              <w:spacing w:after="0"/>
            </w:pPr>
            <w:r>
              <w:rPr>
                <w:rFonts w:ascii="Arial" w:hAnsi="Arial" w:eastAsia="Arial"/>
                <w:color w:val="1B1C19"/>
                <w:sz w:val="18"/>
              </w:rPr>
              <w:t>AI does not remove ownership. It exposes whether ownership was ever defined clearly enough to scale.</w:t>
            </w:r>
          </w:p>
        </w:tc>
      </w:tr>
    </w:tbl>
    <w:p>
      <w:pPr>
        <w:spacing w:after="160"/>
      </w:pPr>
    </w:p>
    <w:tbl>
      <w:tblPr>
        <w:tblW w:type="auto" w:w="0"/>
        <w:jc w:val="center"/>
        <w:tblLayout w:type="autofit"/>
        <w:tblLook w:firstColumn="1" w:firstRow="1" w:lastColumn="0" w:lastRow="0" w:noHBand="0" w:noVBand="1" w:val="04A0"/>
      </w:tblPr>
      <w:tblGrid>
        <w:gridCol w:w="7128"/>
        <w:gridCol w:w="7128"/>
      </w:tblGrid>
      <w:tr>
        <w:trPr>
          <w:tblHeader w:val="true"/>
        </w:trPr>
        <w:tc>
          <w:tcPr>
            <w:tcW w:type="dxa" w:w="7128"/>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6"/>
              </w:rPr>
              <w:t>Field</w:t>
            </w:r>
          </w:p>
        </w:tc>
        <w:tc>
          <w:tcPr>
            <w:tcW w:type="dxa" w:w="7128"/>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6"/>
              </w:rPr>
              <w:t>Definition</w:t>
            </w:r>
          </w:p>
        </w:tc>
      </w:tr>
      <w:tr>
        <w:tc>
          <w:tcPr>
            <w:tcW w:type="dxa" w:w="7128"/>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Use this when</w:t>
            </w:r>
          </w:p>
        </w:tc>
        <w:tc>
          <w:tcPr>
            <w:tcW w:type="dxa" w:w="7128"/>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AI pilots are spreading, accountability is unclear, work is crossing teams, or leaders cannot tell who owns decisions, data, platforms, and agent behavior.</w:t>
            </w:r>
          </w:p>
        </w:tc>
      </w:tr>
      <w:tr>
        <w:tc>
          <w:tcPr>
            <w:tcW w:type="dxa" w:w="7128"/>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Output</w:t>
            </w:r>
          </w:p>
        </w:tc>
        <w:tc>
          <w:tcPr>
            <w:tcW w:type="dxa" w:w="7128"/>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A living ownership map that connects outcomes, decision rights, execution, information, systems, governance, and AI amplification.</w:t>
            </w:r>
          </w:p>
        </w:tc>
      </w:tr>
      <w:tr>
        <w:tc>
          <w:tcPr>
            <w:tcW w:type="dxa" w:w="7128"/>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Best format</w:t>
            </w:r>
          </w:p>
        </w:tc>
        <w:tc>
          <w:tcPr>
            <w:tcW w:type="dxa" w:w="7128"/>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Website artifact + downloadable DOCX/PDF + machine-readable skill schema + optional Lapemo workflow.</w:t>
            </w:r>
          </w:p>
        </w:tc>
      </w:tr>
      <w:tr>
        <w:tc>
          <w:tcPr>
            <w:tcW w:type="dxa" w:w="7128"/>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Version</w:t>
            </w:r>
          </w:p>
        </w:tc>
        <w:tc>
          <w:tcPr>
            <w:tcW w:type="dxa" w:w="7128"/>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v1.0 - built as a reusable knowledge artifact, not a one-time worksheet.</w:t>
            </w:r>
          </w:p>
        </w:tc>
      </w:tr>
    </w:tbl>
    <w:p>
      <w:pPr>
        <w:spacing w:after="120"/>
      </w:pPr>
    </w:p>
    <w:p>
      <w:pPr>
        <w:pStyle w:val="LPMBody"/>
        <w:spacing w:after="120"/>
      </w:pPr>
      <w:r>
        <w:rPr>
          <w:rFonts w:ascii="Arial" w:hAnsi="Arial" w:eastAsia="Arial"/>
        </w:rPr>
        <w:t>Website card copy: A practical template for making hidden ownership visible before AI scales work across teams, systems, and decision paths.</w:t>
      </w:r>
    </w:p>
    <w:p>
      <w:r>
        <w:br w:type="page"/>
      </w:r>
    </w:p>
    <w:p>
      <w:pPr>
        <w:spacing w:after="60" w:before="80"/>
      </w:pPr>
      <w:r>
        <w:rPr>
          <w:rFonts w:ascii="Arial" w:hAnsi="Arial" w:eastAsia="Arial"/>
          <w:b/>
          <w:color w:val="556348"/>
          <w:sz w:val="16"/>
        </w:rPr>
        <w:t>LPM ARTIFACT MODEL</w:t>
      </w:r>
    </w:p>
    <w:p>
      <w:pPr>
        <w:pStyle w:val="LPMHeading1"/>
        <w:spacing w:after="160"/>
      </w:pPr>
      <w:r>
        <w:rPr>
          <w:rFonts w:ascii="Arial" w:hAnsi="Arial" w:eastAsia="Arial"/>
        </w:rPr>
        <w:t>From static artifact to reusable skill</w:t>
      </w:r>
    </w:p>
    <w:p>
      <w:pPr>
        <w:pStyle w:val="LPMBody"/>
        <w:spacing w:after="120"/>
      </w:pPr>
      <w:r>
        <w:rPr>
          <w:rFonts w:ascii="Arial" w:hAnsi="Arial" w:eastAsia="Arial"/>
        </w:rPr>
        <w:t>The Ownership Map should not live only as a PDF. In LPM terms, it should become a reusable skill: a repeatable way for a company to diagnose, fill, score, govern, and refresh ownership as work, systems, and AI agents change.</w:t>
      </w:r>
    </w:p>
    <w:tbl>
      <w:tblPr>
        <w:tblW w:type="auto" w:w="0"/>
        <w:jc w:val="center"/>
        <w:tblLook w:firstColumn="1" w:firstRow="1" w:lastColumn="0" w:lastRow="0" w:noHBand="0" w:noVBand="1" w:val="04A0"/>
      </w:tblPr>
      <w:tblGrid>
        <w:gridCol w:w="14256"/>
      </w:tblGrid>
      <w:tr>
        <w:tc>
          <w:tcPr>
            <w:tcW w:type="dxa" w:w="14256"/>
            <w:shd w:fill="F0EEE9"/>
            <w:tcBorders>
              <w:top w:val="single" w:sz="8" w:space="0" w:color="C9C6BC"/>
              <w:left w:val="single" w:sz="8" w:space="0" w:color="C9C6BC"/>
              <w:bottom w:val="single" w:sz="8" w:space="0" w:color="C9C6BC"/>
              <w:right w:val="single" w:sz="8" w:space="0" w:color="C9C6BC"/>
              <w:insideH w:val="single" w:sz="8" w:space="0" w:color="C9C6BC"/>
              <w:insideV w:val="single" w:sz="8" w:space="0" w:color="C9C6BC"/>
            </w:tcBorders>
            <w:tcMar>
              <w:top w:w="140" w:type="dxa"/>
              <w:start w:w="170" w:type="dxa"/>
              <w:bottom w:w="140" w:type="dxa"/>
              <w:end w:w="170" w:type="dxa"/>
            </w:tcMar>
          </w:tcPr>
          <w:p>
            <w:pPr>
              <w:spacing w:after="80"/>
            </w:pPr>
            <w:r>
              <w:rPr>
                <w:rFonts w:ascii="Arial" w:hAnsi="Arial" w:eastAsia="Arial"/>
                <w:b/>
                <w:color w:val="2D3924"/>
                <w:sz w:val="20"/>
              </w:rPr>
              <w:t>Recommended framing</w:t>
            </w:r>
          </w:p>
          <w:p>
            <w:pPr>
              <w:spacing w:after="0"/>
            </w:pPr>
            <w:r>
              <w:rPr>
                <w:rFonts w:ascii="Arial" w:hAnsi="Arial" w:eastAsia="Arial"/>
                <w:color w:val="1B1C19"/>
                <w:sz w:val="18"/>
              </w:rPr>
              <w:t>Artifact = downloadable reference. Template = repeatable worksheet. Skill = guided workflow with inputs, scoring, outputs, versioning, and update triggers. Knowledge object = the governed source of truth that people and AI can reference safely.</w:t>
            </w:r>
          </w:p>
        </w:tc>
      </w:tr>
    </w:tbl>
    <w:p>
      <w:pPr>
        <w:pStyle w:val="LPMHeading2"/>
        <w:spacing w:after="100"/>
      </w:pPr>
      <w:r>
        <w:rPr>
          <w:rFonts w:ascii="Arial" w:hAnsi="Arial" w:eastAsia="Arial"/>
        </w:rPr>
        <w:t>Reusable skill stack</w:t>
      </w:r>
    </w:p>
    <w:tbl>
      <w:tblPr>
        <w:tblW w:type="auto" w:w="0"/>
        <w:jc w:val="center"/>
        <w:tblLayout w:type="autofit"/>
        <w:tblLook w:firstColumn="1" w:firstRow="1" w:lastColumn="0" w:lastRow="0" w:noHBand="0" w:noVBand="1" w:val="04A0"/>
      </w:tblPr>
      <w:tblGrid>
        <w:gridCol w:w="4752"/>
        <w:gridCol w:w="4752"/>
        <w:gridCol w:w="4752"/>
      </w:tblGrid>
      <w:tr>
        <w:trPr>
          <w:tblHeader w:val="true"/>
        </w:trPr>
        <w:tc>
          <w:tcPr>
            <w:tcW w:type="dxa" w:w="4752"/>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6"/>
              </w:rPr>
              <w:t>Layer</w:t>
            </w:r>
          </w:p>
        </w:tc>
        <w:tc>
          <w:tcPr>
            <w:tcW w:type="dxa" w:w="4752"/>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6"/>
              </w:rPr>
              <w:t>What it does</w:t>
            </w:r>
          </w:p>
        </w:tc>
        <w:tc>
          <w:tcPr>
            <w:tcW w:type="dxa" w:w="4752"/>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6"/>
              </w:rPr>
              <w:t>Suggested format</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1. Reference</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Plain-language guide explaining the ownership model and why it matters for AI scaling.</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Website page, PDF, DOCX</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2. Template</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Fillable map customized by company size and operating complexity.</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DOCX, spreadsheet, web form</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3. Schema</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Structured fields that machines can read consistently.</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JSON/YAML, database table</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4. Scoring</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Ownership clarity score by domain and owner type.</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0-3 rubric, heatmap</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5. Workflow</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Guided questions, review cadence, decision prompts, and escalation rules.</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Lapemo skill, AI assistant, form wizard</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6. Governance</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Version history, named artifact owner, approval path, and evidence sources.</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Changelog, audit log, owner registry</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7. Refresh</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Triggers that flag stale ownership when org, systems, or AI usage changes.</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Connectors, calendar reviews, system-of-record signals</w:t>
            </w:r>
          </w:p>
        </w:tc>
      </w:tr>
    </w:tbl>
    <w:p>
      <w:pPr>
        <w:pStyle w:val="LPMHeading2"/>
        <w:spacing w:after="100"/>
      </w:pPr>
      <w:r>
        <w:rPr>
          <w:rFonts w:ascii="Arial" w:hAnsi="Arial" w:eastAsia="Arial"/>
        </w:rPr>
        <w:t>Practical website packaging</w:t>
      </w:r>
    </w:p>
    <w:p>
      <w:pPr>
        <w:pStyle w:val="LPMBullet"/>
        <w:spacing w:after="80"/>
        <w:ind w:left="259" w:hanging="173"/>
      </w:pPr>
      <w:r>
        <w:rPr>
          <w:rFonts w:ascii="Arial" w:hAnsi="Arial" w:eastAsia="Arial"/>
          <w:color w:val="1B1C19"/>
          <w:sz w:val="18"/>
        </w:rPr>
        <w:t>• Publish one landing page for the Ownership Map skill with a simple explanation and three download cards.</w:t>
      </w:r>
    </w:p>
    <w:p>
      <w:pPr>
        <w:pStyle w:val="LPMBullet"/>
        <w:spacing w:after="80"/>
        <w:ind w:left="259" w:hanging="173"/>
      </w:pPr>
      <w:r>
        <w:rPr>
          <w:rFonts w:ascii="Arial" w:hAnsi="Arial" w:eastAsia="Arial"/>
          <w:color w:val="1B1C19"/>
          <w:sz w:val="18"/>
        </w:rPr>
        <w:t>• Offer downloads by company profile: 500+, 5,000+, and 10,000+.</w:t>
      </w:r>
    </w:p>
    <w:p>
      <w:pPr>
        <w:pStyle w:val="LPMBullet"/>
        <w:spacing w:after="80"/>
        <w:ind w:left="259" w:hanging="173"/>
      </w:pPr>
      <w:r>
        <w:rPr>
          <w:rFonts w:ascii="Arial" w:hAnsi="Arial" w:eastAsia="Arial"/>
          <w:color w:val="1B1C19"/>
          <w:sz w:val="18"/>
        </w:rPr>
        <w:t>• Include a short “Run this skill” CTA that explains how Lapemo turns the template into a living control object.</w:t>
      </w:r>
    </w:p>
    <w:p>
      <w:pPr>
        <w:pStyle w:val="LPMBullet"/>
        <w:spacing w:after="80"/>
        <w:ind w:left="259" w:hanging="173"/>
      </w:pPr>
      <w:r>
        <w:rPr>
          <w:rFonts w:ascii="Arial" w:hAnsi="Arial" w:eastAsia="Arial"/>
          <w:color w:val="1B1C19"/>
          <w:sz w:val="18"/>
        </w:rPr>
        <w:t>• Show metadata on every artifact: version, last updated, LPM layers covered, owner, review cadence, and compatible inputs.</w:t>
      </w:r>
    </w:p>
    <w:p>
      <w:pPr>
        <w:pStyle w:val="LPMBullet"/>
        <w:spacing w:after="80"/>
        <w:ind w:left="259" w:hanging="173"/>
      </w:pPr>
      <w:r>
        <w:rPr>
          <w:rFonts w:ascii="Arial" w:hAnsi="Arial" w:eastAsia="Arial"/>
          <w:color w:val="1B1C19"/>
          <w:sz w:val="18"/>
        </w:rPr>
        <w:t>• Avoid “set it and forget it.” The artifact should become a living source of truth that changes only through governed updates.</w:t>
      </w:r>
    </w:p>
    <w:p>
      <w:r>
        <w:br w:type="page"/>
      </w:r>
    </w:p>
    <w:p>
      <w:pPr>
        <w:spacing w:after="60" w:before="80"/>
      </w:pPr>
      <w:r>
        <w:rPr>
          <w:rFonts w:ascii="Arial" w:hAnsi="Arial" w:eastAsia="Arial"/>
          <w:b/>
          <w:color w:val="556348"/>
          <w:sz w:val="16"/>
        </w:rPr>
        <w:t>UNIVERSAL TEMPLATE</w:t>
      </w:r>
    </w:p>
    <w:p>
      <w:pPr>
        <w:pStyle w:val="LPMHeading1"/>
        <w:spacing w:after="160"/>
      </w:pPr>
      <w:r>
        <w:rPr>
          <w:rFonts w:ascii="Arial" w:hAnsi="Arial" w:eastAsia="Arial"/>
        </w:rPr>
        <w:t>Ownership Map fields</w:t>
      </w:r>
    </w:p>
    <w:p>
      <w:pPr>
        <w:pStyle w:val="LPMBody"/>
        <w:spacing w:after="120"/>
      </w:pPr>
      <w:r>
        <w:rPr>
          <w:rFonts w:ascii="Arial" w:hAnsi="Arial" w:eastAsia="Arial"/>
        </w:rPr>
        <w:t>Every version uses the same conceptual fields, but the depth changes with company size. Smaller companies need clarity without bureaucracy. Larger companies need federation, controls, and evidence.</w:t>
      </w:r>
    </w:p>
    <w:tbl>
      <w:tblPr>
        <w:tblW w:type="auto" w:w="0"/>
        <w:jc w:val="center"/>
        <w:tblLayout w:type="autofit"/>
        <w:tblLook w:firstColumn="1" w:firstRow="1" w:lastColumn="0" w:lastRow="0" w:noHBand="0" w:noVBand="1" w:val="04A0"/>
      </w:tblPr>
      <w:tblGrid>
        <w:gridCol w:w="4752"/>
        <w:gridCol w:w="4752"/>
        <w:gridCol w:w="4752"/>
      </w:tblGrid>
      <w:tr>
        <w:trPr>
          <w:tblHeader w:val="true"/>
        </w:trPr>
        <w:tc>
          <w:tcPr>
            <w:tcW w:type="dxa" w:w="475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5"/>
              </w:rPr>
              <w:t>Field</w:t>
            </w:r>
          </w:p>
        </w:tc>
        <w:tc>
          <w:tcPr>
            <w:tcW w:type="dxa" w:w="475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5"/>
              </w:rPr>
              <w:t>Meaning</w:t>
            </w:r>
          </w:p>
        </w:tc>
        <w:tc>
          <w:tcPr>
            <w:tcW w:type="dxa" w:w="475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5"/>
              </w:rPr>
              <w:t>Guidance</w:t>
            </w:r>
          </w:p>
        </w:tc>
      </w:tr>
      <w:tr>
        <w:tc>
          <w:tcPr>
            <w:tcW w:type="dxa" w:w="475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Work / capability domain</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The capability, workflow, product area, or enterprise system being mapped.</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Example: customer onboarding, product intake, finance close, AI support agents.</w:t>
            </w:r>
          </w:p>
        </w:tc>
      </w:tr>
      <w:tr>
        <w:tc>
          <w:tcPr>
            <w:tcW w:type="dxa" w:w="475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Outcome owner</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The accountable leader for business results.</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One name or role. Do not allow shared ambiguity.</w:t>
            </w:r>
          </w:p>
        </w:tc>
      </w:tr>
      <w:tr>
        <w:tc>
          <w:tcPr>
            <w:tcW w:type="dxa" w:w="475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Decision owner</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The role with authority to make tradeoff decisions.</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Defines what can be decided locally vs escalated.</w:t>
            </w:r>
          </w:p>
        </w:tc>
      </w:tr>
      <w:tr>
        <w:tc>
          <w:tcPr>
            <w:tcW w:type="dxa" w:w="475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Execution owner</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The role that runs the process and coordinates delivery.</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Usually product, operations, transformation, or process lead.</w:t>
            </w:r>
          </w:p>
        </w:tc>
      </w:tr>
      <w:tr>
        <w:tc>
          <w:tcPr>
            <w:tcW w:type="dxa" w:w="475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Information owner</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The person accountable for data, knowledge, documentation, and context quality.</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Critical for AI because poor context creates poor automation.</w:t>
            </w:r>
          </w:p>
        </w:tc>
      </w:tr>
      <w:tr>
        <w:tc>
          <w:tcPr>
            <w:tcW w:type="dxa" w:w="475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Platform owner</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The person accountable for the system of record or workflow platform.</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Example: Jira, ServiceNow, Salesforce, Workday, Teams, Confluence.</w:t>
            </w:r>
          </w:p>
        </w:tc>
      </w:tr>
      <w:tr>
        <w:tc>
          <w:tcPr>
            <w:tcW w:type="dxa" w:w="475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Governance owner</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The person accountable for policy, risk, control, compliance, and review.</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Must include control evidence, not just opinion.</w:t>
            </w:r>
          </w:p>
        </w:tc>
      </w:tr>
      <w:tr>
        <w:tc>
          <w:tcPr>
            <w:tcW w:type="dxa" w:w="475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AI / automation owner</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The person accountable for AI use cases, agent behavior, model/tool access, and human review.</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AI owner is not always the technical owner.</w:t>
            </w:r>
          </w:p>
        </w:tc>
      </w:tr>
      <w:tr>
        <w:tc>
          <w:tcPr>
            <w:tcW w:type="dxa" w:w="475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Evidence source</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Where proof of ownership and decisions lives.</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Charter, Jira project, RACI, policy, Confluence page, intake board, audit log.</w:t>
            </w:r>
          </w:p>
        </w:tc>
      </w:tr>
      <w:tr>
        <w:tc>
          <w:tcPr>
            <w:tcW w:type="dxa" w:w="475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Escalation trigger</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What causes an ownership issue to be escalated.</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No owner, conflicting owners, stale evidence, agent acting outside bounds.</w:t>
            </w:r>
          </w:p>
        </w:tc>
      </w:tr>
    </w:tbl>
    <w:p>
      <w:pPr>
        <w:pStyle w:val="LPMHeading2"/>
        <w:spacing w:after="100"/>
      </w:pPr>
      <w:r>
        <w:rPr>
          <w:rFonts w:ascii="Arial" w:hAnsi="Arial" w:eastAsia="Arial"/>
        </w:rPr>
        <w:t>Scoring rubric</w:t>
      </w:r>
    </w:p>
    <w:tbl>
      <w:tblPr>
        <w:tblW w:type="auto" w:w="0"/>
        <w:jc w:val="center"/>
        <w:tblLayout w:type="autofit"/>
        <w:tblLook w:firstColumn="1" w:firstRow="1" w:lastColumn="0" w:lastRow="0" w:noHBand="0" w:noVBand="1" w:val="04A0"/>
      </w:tblPr>
      <w:tblGrid>
        <w:gridCol w:w="7128"/>
        <w:gridCol w:w="7128"/>
      </w:tblGrid>
      <w:tr>
        <w:trPr>
          <w:tblHeader w:val="true"/>
        </w:trPr>
        <w:tc>
          <w:tcPr>
            <w:tcW w:type="dxa" w:w="7128"/>
            <w:shd w:fill="556348"/>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6"/>
              </w:rPr>
              <w:t>Score</w:t>
            </w:r>
          </w:p>
        </w:tc>
        <w:tc>
          <w:tcPr>
            <w:tcW w:type="dxa" w:w="7128"/>
            <w:shd w:fill="556348"/>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6"/>
              </w:rPr>
              <w:t>Definition</w:t>
            </w:r>
          </w:p>
        </w:tc>
      </w:tr>
      <w:tr>
        <w:tc>
          <w:tcPr>
            <w:tcW w:type="dxa" w:w="7128"/>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0 - Missing</w:t>
            </w:r>
          </w:p>
        </w:tc>
        <w:tc>
          <w:tcPr>
            <w:tcW w:type="dxa" w:w="7128"/>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No clear owner, no decision path, or ownership exists only through tribal knowledge.</w:t>
            </w:r>
          </w:p>
        </w:tc>
      </w:tr>
      <w:tr>
        <w:tc>
          <w:tcPr>
            <w:tcW w:type="dxa" w:w="7128"/>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1 - Named but weak</w:t>
            </w:r>
          </w:p>
        </w:tc>
        <w:tc>
          <w:tcPr>
            <w:tcW w:type="dxa" w:w="7128"/>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Owner exists, but authority, evidence, or decision rights are unclear.</w:t>
            </w:r>
          </w:p>
        </w:tc>
      </w:tr>
      <w:tr>
        <w:tc>
          <w:tcPr>
            <w:tcW w:type="dxa" w:w="7128"/>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2 - Defined</w:t>
            </w:r>
          </w:p>
        </w:tc>
        <w:tc>
          <w:tcPr>
            <w:tcW w:type="dxa" w:w="7128"/>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Owner, authority, evidence, and escalation are documented and usable.</w:t>
            </w:r>
          </w:p>
        </w:tc>
      </w:tr>
      <w:tr>
        <w:tc>
          <w:tcPr>
            <w:tcW w:type="dxa" w:w="7128"/>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3 - Governed and current</w:t>
            </w:r>
          </w:p>
        </w:tc>
        <w:tc>
          <w:tcPr>
            <w:tcW w:type="dxa" w:w="7128"/>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Ownership is actively reviewed, linked to systems of record, and safe for AI-assisted work.</w:t>
            </w:r>
          </w:p>
        </w:tc>
      </w:tr>
    </w:tbl>
    <w:p>
      <w:r>
        <w:br w:type="page"/>
      </w:r>
    </w:p>
    <w:p>
      <w:pPr>
        <w:spacing w:after="60" w:before="80"/>
      </w:pPr>
      <w:r>
        <w:rPr>
          <w:rFonts w:ascii="Arial" w:hAnsi="Arial" w:eastAsia="Arial"/>
          <w:b/>
          <w:color w:val="556348"/>
          <w:sz w:val="16"/>
        </w:rPr>
        <w:t>VERSION 1</w:t>
      </w:r>
    </w:p>
    <w:p>
      <w:pPr>
        <w:pStyle w:val="LPMHeading1"/>
        <w:spacing w:after="160"/>
      </w:pPr>
      <w:r>
        <w:rPr>
          <w:rFonts w:ascii="Arial" w:hAnsi="Arial" w:eastAsia="Arial"/>
        </w:rPr>
        <w:t>500+ employees: The scaling company</w:t>
      </w:r>
    </w:p>
    <w:p>
      <w:pPr>
        <w:pStyle w:val="LPMBody"/>
        <w:spacing w:after="120"/>
      </w:pPr>
      <w:r>
        <w:rPr>
          <w:rFonts w:ascii="Arial" w:hAnsi="Arial" w:eastAsia="Arial"/>
        </w:rPr>
        <w:t>This version is intentionally lightweight. The goal is to move from founder-led or relationship-led coordination to visible ownership without creating enterprise bureaucracy.</w:t>
      </w:r>
    </w:p>
    <w:tbl>
      <w:tblPr>
        <w:tblW w:type="auto" w:w="0"/>
        <w:jc w:val="center"/>
        <w:tblLook w:firstColumn="1" w:firstRow="1" w:lastColumn="0" w:lastRow="0" w:noHBand="0" w:noVBand="1" w:val="04A0"/>
      </w:tblPr>
      <w:tblGrid>
        <w:gridCol w:w="14256"/>
      </w:tblGrid>
      <w:tr>
        <w:tc>
          <w:tcPr>
            <w:tcW w:type="dxa" w:w="14256"/>
            <w:shd w:fill="D9E8C7"/>
            <w:tcBorders>
              <w:top w:val="single" w:sz="8" w:space="0" w:color="C9C6BC"/>
              <w:left w:val="single" w:sz="8" w:space="0" w:color="C9C6BC"/>
              <w:bottom w:val="single" w:sz="8" w:space="0" w:color="C9C6BC"/>
              <w:right w:val="single" w:sz="8" w:space="0" w:color="C9C6BC"/>
              <w:insideH w:val="single" w:sz="8" w:space="0" w:color="C9C6BC"/>
              <w:insideV w:val="single" w:sz="8" w:space="0" w:color="C9C6BC"/>
            </w:tcBorders>
            <w:tcMar>
              <w:top w:w="140" w:type="dxa"/>
              <w:start w:w="170" w:type="dxa"/>
              <w:bottom w:w="140" w:type="dxa"/>
              <w:end w:w="170" w:type="dxa"/>
            </w:tcMar>
          </w:tcPr>
          <w:p>
            <w:pPr>
              <w:spacing w:after="80"/>
            </w:pPr>
            <w:r>
              <w:rPr>
                <w:rFonts w:ascii="Arial" w:hAnsi="Arial" w:eastAsia="Arial"/>
                <w:b/>
                <w:color w:val="2D3924"/>
                <w:sz w:val="20"/>
              </w:rPr>
              <w:t>Operating-model problem</w:t>
            </w:r>
          </w:p>
          <w:p>
            <w:pPr>
              <w:spacing w:after="0"/>
            </w:pPr>
            <w:r>
              <w:rPr>
                <w:rFonts w:ascii="Arial" w:hAnsi="Arial" w:eastAsia="Arial"/>
                <w:color w:val="1B1C19"/>
                <w:sz w:val="18"/>
              </w:rPr>
              <w:t>The company has outgrown tribal coordination. Work still moves through relationships, meetings, Slack or Teams, and a handful of strong operators. AI pilots can spread quickly, but ownership does not scale at the same pace.</w:t>
            </w:r>
          </w:p>
        </w:tc>
      </w:tr>
    </w:tbl>
    <w:p>
      <w:pPr>
        <w:pStyle w:val="LPMHeading2"/>
        <w:spacing w:after="100"/>
      </w:pPr>
      <w:r>
        <w:rPr>
          <w:rFonts w:ascii="Arial" w:hAnsi="Arial" w:eastAsia="Arial"/>
        </w:rPr>
        <w:t>Recommended ownership model</w:t>
      </w:r>
    </w:p>
    <w:p>
      <w:pPr>
        <w:pStyle w:val="LPMBullet"/>
        <w:spacing w:after="80"/>
        <w:ind w:left="259" w:hanging="173"/>
      </w:pPr>
      <w:r>
        <w:rPr>
          <w:rFonts w:ascii="Arial" w:hAnsi="Arial" w:eastAsia="Arial"/>
          <w:color w:val="1B1C19"/>
          <w:sz w:val="18"/>
        </w:rPr>
        <w:t>• Use one accountable outcome owner per domain.</w:t>
      </w:r>
    </w:p>
    <w:p>
      <w:pPr>
        <w:pStyle w:val="LPMBullet"/>
        <w:spacing w:after="80"/>
        <w:ind w:left="259" w:hanging="173"/>
      </w:pPr>
      <w:r>
        <w:rPr>
          <w:rFonts w:ascii="Arial" w:hAnsi="Arial" w:eastAsia="Arial"/>
          <w:color w:val="1B1C19"/>
          <w:sz w:val="18"/>
        </w:rPr>
        <w:t>• Use a single decision-rights owner for tradeoffs: priority, budget, risk acceptance, platform choice, and AI approval.</w:t>
      </w:r>
    </w:p>
    <w:p>
      <w:pPr>
        <w:pStyle w:val="LPMBullet"/>
        <w:spacing w:after="80"/>
        <w:ind w:left="259" w:hanging="173"/>
      </w:pPr>
      <w:r>
        <w:rPr>
          <w:rFonts w:ascii="Arial" w:hAnsi="Arial" w:eastAsia="Arial"/>
          <w:color w:val="1B1C19"/>
          <w:sz w:val="18"/>
        </w:rPr>
        <w:t>• Keep governance lightweight: one review forum, one owner registry, one escalation path.</w:t>
      </w:r>
    </w:p>
    <w:p>
      <w:pPr>
        <w:pStyle w:val="LPMBullet"/>
        <w:spacing w:after="80"/>
        <w:ind w:left="259" w:hanging="173"/>
      </w:pPr>
      <w:r>
        <w:rPr>
          <w:rFonts w:ascii="Arial" w:hAnsi="Arial" w:eastAsia="Arial"/>
          <w:color w:val="1B1C19"/>
          <w:sz w:val="18"/>
        </w:rPr>
        <w:t>• Name a human owner for every AI-enabled workflow, even if the AI tool is experimental.</w:t>
      </w:r>
    </w:p>
    <w:tbl>
      <w:tblPr>
        <w:tblW w:type="auto" w:w="0"/>
        <w:jc w:val="center"/>
        <w:tblLayout w:type="autofit"/>
        <w:tblLook w:firstColumn="1" w:firstRow="1" w:lastColumn="0" w:lastRow="0" w:noHBand="0" w:noVBand="1" w:val="04A0"/>
      </w:tblPr>
      <w:tblGrid>
        <w:gridCol w:w="1782"/>
        <w:gridCol w:w="1782"/>
        <w:gridCol w:w="1782"/>
        <w:gridCol w:w="1782"/>
        <w:gridCol w:w="1782"/>
        <w:gridCol w:w="1782"/>
        <w:gridCol w:w="1782"/>
        <w:gridCol w:w="1782"/>
      </w:tblGrid>
      <w:tr>
        <w:trPr>
          <w:tblHeader w:val="true"/>
        </w:trPr>
        <w:tc>
          <w:tcPr>
            <w:tcW w:type="dxa" w:w="178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3"/>
              </w:rPr>
              <w:t>Domain</w:t>
            </w:r>
          </w:p>
        </w:tc>
        <w:tc>
          <w:tcPr>
            <w:tcW w:type="dxa" w:w="178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3"/>
              </w:rPr>
              <w:t>Outcome owner</w:t>
            </w:r>
          </w:p>
        </w:tc>
        <w:tc>
          <w:tcPr>
            <w:tcW w:type="dxa" w:w="178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3"/>
              </w:rPr>
              <w:t>Decision rights</w:t>
            </w:r>
          </w:p>
        </w:tc>
        <w:tc>
          <w:tcPr>
            <w:tcW w:type="dxa" w:w="178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3"/>
              </w:rPr>
              <w:t>Execution owner</w:t>
            </w:r>
          </w:p>
        </w:tc>
        <w:tc>
          <w:tcPr>
            <w:tcW w:type="dxa" w:w="178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3"/>
              </w:rPr>
              <w:t>Info / data owner</w:t>
            </w:r>
          </w:p>
        </w:tc>
        <w:tc>
          <w:tcPr>
            <w:tcW w:type="dxa" w:w="178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3"/>
              </w:rPr>
              <w:t>Platform owner</w:t>
            </w:r>
          </w:p>
        </w:tc>
        <w:tc>
          <w:tcPr>
            <w:tcW w:type="dxa" w:w="178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3"/>
              </w:rPr>
              <w:t>AI owner</w:t>
            </w:r>
          </w:p>
        </w:tc>
        <w:tc>
          <w:tcPr>
            <w:tcW w:type="dxa" w:w="178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3"/>
              </w:rPr>
              <w:t>Evidence + escalation</w:t>
            </w:r>
          </w:p>
        </w:tc>
      </w:tr>
      <w:tr>
        <w:tc>
          <w:tcPr>
            <w:tcW w:type="dxa" w:w="178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Customer experience</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[Role / name]</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3"/>
              </w:rPr>
              <w:t>Decision: customer-impacting process changes</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[CX / Ops lead]</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[Customer data steward]</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[CRM / support platform owner]</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[AI assist owner]</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Evidence: CX charter, CRM workflow, support playbook</w:t>
            </w:r>
            <w:r>
              <w:br/>
            </w:r>
            <w:r>
              <w:rPr>
                <w:rFonts w:ascii="Arial" w:hAnsi="Arial" w:eastAsia="Arial"/>
                <w:b/>
                <w:color w:val="9A6E29"/>
                <w:sz w:val="13"/>
              </w:rPr>
              <w:t>Trigger: no owner for AI-generated response quality</w:t>
            </w:r>
          </w:p>
        </w:tc>
      </w:tr>
      <w:tr>
        <w:tc>
          <w:tcPr>
            <w:tcW w:type="dxa" w:w="178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Product delivery</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[Role / name]</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3"/>
              </w:rPr>
              <w:t>Decision: roadmap tradeoffs, delivery priority</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[Product lead]</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[Product docs owner]</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[Jira / roadmap owner]</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[AI product workflow owner]</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Evidence: roadmap, Jira board, release notes</w:t>
            </w:r>
            <w:r>
              <w:br/>
            </w:r>
            <w:r>
              <w:rPr>
                <w:rFonts w:ascii="Arial" w:hAnsi="Arial" w:eastAsia="Arial"/>
                <w:b/>
                <w:color w:val="9A6E29"/>
                <w:sz w:val="13"/>
              </w:rPr>
              <w:t>Trigger: duplicate priorities or unclear DRI</w:t>
            </w:r>
          </w:p>
        </w:tc>
      </w:tr>
      <w:tr>
        <w:tc>
          <w:tcPr>
            <w:tcW w:type="dxa" w:w="178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Internal knowledge</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[Role / name]</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3"/>
              </w:rPr>
              <w:t>Decision: source-of-truth rules</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[Ops / enablement lead]</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[Knowledge owner]</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[Confluence / Teams owner]</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[AI knowledge retrieval owner]</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Evidence: knowledge standards, page owners</w:t>
            </w:r>
            <w:r>
              <w:br/>
            </w:r>
            <w:r>
              <w:rPr>
                <w:rFonts w:ascii="Arial" w:hAnsi="Arial" w:eastAsia="Arial"/>
                <w:b/>
                <w:color w:val="9A6E29"/>
                <w:sz w:val="13"/>
              </w:rPr>
              <w:t>Trigger: AI answers from stale or ownerless content</w:t>
            </w:r>
          </w:p>
        </w:tc>
      </w:tr>
      <w:tr>
        <w:tc>
          <w:tcPr>
            <w:tcW w:type="dxa" w:w="178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People operations</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[Role / name]</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3"/>
              </w:rPr>
              <w:t>Decision: employee lifecycle changes</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[HR ops lead]</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[People data owner]</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[HRIS owner]</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[HR automation owner]</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Evidence: HR process map, Workday/HRIS ownership</w:t>
            </w:r>
            <w:r>
              <w:br/>
            </w:r>
            <w:r>
              <w:rPr>
                <w:rFonts w:ascii="Arial" w:hAnsi="Arial" w:eastAsia="Arial"/>
                <w:b/>
                <w:color w:val="9A6E29"/>
                <w:sz w:val="13"/>
              </w:rPr>
              <w:t>Trigger: manager self-service or AI HR answers lack review</w:t>
            </w:r>
          </w:p>
        </w:tc>
      </w:tr>
      <w:tr>
        <w:tc>
          <w:tcPr>
            <w:tcW w:type="dxa" w:w="178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Finance / planning</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[Role / name]</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3"/>
              </w:rPr>
              <w:t>Decision: forecast assumptions and approval</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[FP&amp;A lead]</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[Finance data owner]</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[Planning system owner]</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[Finance AI analysis owner]</w:t>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Evidence: forecast calendar, assumptions log</w:t>
            </w:r>
            <w:r>
              <w:br/>
            </w:r>
            <w:r>
              <w:rPr>
                <w:rFonts w:ascii="Arial" w:hAnsi="Arial" w:eastAsia="Arial"/>
                <w:b/>
                <w:color w:val="9A6E29"/>
                <w:sz w:val="13"/>
              </w:rPr>
              <w:t>Trigger: conflicting numbers across reports</w:t>
            </w:r>
          </w:p>
        </w:tc>
      </w:tr>
      <w:tr>
        <w:tc>
          <w:tcPr>
            <w:tcW w:type="dxa" w:w="178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Governance / risk</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[Role / name]</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3"/>
              </w:rPr>
              <w:t>Decision: acceptable risk and review path</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[Risk / legal lead]</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[Policy owner]</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[GRC / document system owner]</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[AI risk owner]</w:t>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t>Evidence: risk register, policy review log</w:t>
            </w:r>
            <w:r>
              <w:br/>
            </w:r>
            <w:r>
              <w:rPr>
                <w:rFonts w:ascii="Arial" w:hAnsi="Arial" w:eastAsia="Arial"/>
                <w:b/>
                <w:color w:val="9A6E29"/>
                <w:sz w:val="13"/>
              </w:rPr>
              <w:t>Trigger: AI use case lacks approval path</w:t>
            </w:r>
          </w:p>
        </w:tc>
      </w:tr>
    </w:tbl>
    <w:p>
      <w:r>
        <w:br w:type="page"/>
      </w:r>
    </w:p>
    <w:p>
      <w:pPr>
        <w:spacing w:after="60" w:before="80"/>
      </w:pPr>
      <w:r>
        <w:rPr>
          <w:rFonts w:ascii="Arial" w:hAnsi="Arial" w:eastAsia="Arial"/>
          <w:b/>
          <w:color w:val="556348"/>
          <w:sz w:val="16"/>
        </w:rPr>
        <w:t>500+ WORKSHEET</w:t>
      </w:r>
    </w:p>
    <w:p>
      <w:pPr>
        <w:pStyle w:val="LPMHeading1"/>
        <w:spacing w:after="160"/>
      </w:pPr>
      <w:r>
        <w:rPr>
          <w:rFonts w:ascii="Arial" w:hAnsi="Arial" w:eastAsia="Arial"/>
        </w:rPr>
        <w:t>500+ fill-in map</w:t>
      </w:r>
    </w:p>
    <w:tbl>
      <w:tblPr>
        <w:tblW w:type="auto" w:w="0"/>
        <w:jc w:val="center"/>
        <w:tblLayout w:type="autofit"/>
        <w:tblLook w:firstColumn="1" w:firstRow="1" w:lastColumn="0" w:lastRow="0" w:noHBand="0" w:noVBand="1" w:val="04A0"/>
      </w:tblPr>
      <w:tblGrid>
        <w:gridCol w:w="1782"/>
        <w:gridCol w:w="1782"/>
        <w:gridCol w:w="1782"/>
        <w:gridCol w:w="1782"/>
        <w:gridCol w:w="1782"/>
        <w:gridCol w:w="1782"/>
        <w:gridCol w:w="1782"/>
        <w:gridCol w:w="1782"/>
      </w:tblGrid>
      <w:tr>
        <w:trPr>
          <w:tblHeader w:val="true"/>
        </w:trPr>
        <w:tc>
          <w:tcPr>
            <w:tcW w:type="dxa" w:w="178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3"/>
              </w:rPr>
              <w:t>Domain</w:t>
            </w:r>
          </w:p>
        </w:tc>
        <w:tc>
          <w:tcPr>
            <w:tcW w:type="dxa" w:w="178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3"/>
              </w:rPr>
              <w:t>Outcome owner</w:t>
            </w:r>
          </w:p>
        </w:tc>
        <w:tc>
          <w:tcPr>
            <w:tcW w:type="dxa" w:w="178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3"/>
              </w:rPr>
              <w:t>Decision rights</w:t>
            </w:r>
          </w:p>
        </w:tc>
        <w:tc>
          <w:tcPr>
            <w:tcW w:type="dxa" w:w="178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3"/>
              </w:rPr>
              <w:t>Execution owner</w:t>
            </w:r>
          </w:p>
        </w:tc>
        <w:tc>
          <w:tcPr>
            <w:tcW w:type="dxa" w:w="178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3"/>
              </w:rPr>
              <w:t>Info / data owner</w:t>
            </w:r>
          </w:p>
        </w:tc>
        <w:tc>
          <w:tcPr>
            <w:tcW w:type="dxa" w:w="178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3"/>
              </w:rPr>
              <w:t>Platform owner</w:t>
            </w:r>
          </w:p>
        </w:tc>
        <w:tc>
          <w:tcPr>
            <w:tcW w:type="dxa" w:w="178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3"/>
              </w:rPr>
              <w:t>AI owner</w:t>
            </w:r>
          </w:p>
        </w:tc>
        <w:tc>
          <w:tcPr>
            <w:tcW w:type="dxa" w:w="178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3"/>
              </w:rPr>
              <w:t>Evidence + escalation</w:t>
            </w:r>
          </w:p>
        </w:tc>
      </w:tr>
      <w:tr>
        <w:tc>
          <w:tcPr>
            <w:tcW w:type="dxa" w:w="178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r>
      <w:tr>
        <w:tc>
          <w:tcPr>
            <w:tcW w:type="dxa" w:w="178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r>
      <w:tr>
        <w:tc>
          <w:tcPr>
            <w:tcW w:type="dxa" w:w="178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r>
      <w:tr>
        <w:tc>
          <w:tcPr>
            <w:tcW w:type="dxa" w:w="178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r>
      <w:tr>
        <w:tc>
          <w:tcPr>
            <w:tcW w:type="dxa" w:w="178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r>
      <w:tr>
        <w:tc>
          <w:tcPr>
            <w:tcW w:type="dxa" w:w="178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r>
      <w:tr>
        <w:tc>
          <w:tcPr>
            <w:tcW w:type="dxa" w:w="178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r>
      <w:tr>
        <w:tc>
          <w:tcPr>
            <w:tcW w:type="dxa" w:w="1782"/>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c>
          <w:tcPr>
            <w:tcW w:type="dxa" w:w="178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3"/>
              </w:rPr>
            </w:r>
          </w:p>
        </w:tc>
      </w:tr>
    </w:tbl>
    <w:p>
      <w:pPr>
        <w:pStyle w:val="LPMHeading2"/>
        <w:spacing w:after="100"/>
      </w:pPr>
      <w:r>
        <w:rPr>
          <w:rFonts w:ascii="Arial" w:hAnsi="Arial" w:eastAsia="Arial"/>
        </w:rPr>
        <w:t>Fast questions for the workshop</w:t>
      </w:r>
    </w:p>
    <w:p>
      <w:pPr>
        <w:pStyle w:val="LPMBullet"/>
        <w:spacing w:after="80"/>
        <w:ind w:left="259" w:hanging="173"/>
      </w:pPr>
      <w:r>
        <w:rPr>
          <w:rFonts w:ascii="Arial" w:hAnsi="Arial" w:eastAsia="Arial"/>
          <w:color w:val="1B1C19"/>
          <w:sz w:val="18"/>
        </w:rPr>
        <w:t>• Who is accountable for the outcome if AI makes this process faster but worse?</w:t>
      </w:r>
    </w:p>
    <w:p>
      <w:pPr>
        <w:pStyle w:val="LPMBullet"/>
        <w:spacing w:after="80"/>
        <w:ind w:left="259" w:hanging="173"/>
      </w:pPr>
      <w:r>
        <w:rPr>
          <w:rFonts w:ascii="Arial" w:hAnsi="Arial" w:eastAsia="Arial"/>
          <w:color w:val="1B1C19"/>
          <w:sz w:val="18"/>
        </w:rPr>
        <w:t>• Who can approve changes to the workflow without asking the founder or executive team?</w:t>
      </w:r>
    </w:p>
    <w:p>
      <w:pPr>
        <w:pStyle w:val="LPMBullet"/>
        <w:spacing w:after="80"/>
        <w:ind w:left="259" w:hanging="173"/>
      </w:pPr>
      <w:r>
        <w:rPr>
          <w:rFonts w:ascii="Arial" w:hAnsi="Arial" w:eastAsia="Arial"/>
          <w:color w:val="1B1C19"/>
          <w:sz w:val="18"/>
        </w:rPr>
        <w:t>• Where does the current version of the process live?</w:t>
      </w:r>
    </w:p>
    <w:p>
      <w:pPr>
        <w:pStyle w:val="LPMBullet"/>
        <w:spacing w:after="80"/>
        <w:ind w:left="259" w:hanging="173"/>
      </w:pPr>
      <w:r>
        <w:rPr>
          <w:rFonts w:ascii="Arial" w:hAnsi="Arial" w:eastAsia="Arial"/>
          <w:color w:val="1B1C19"/>
          <w:sz w:val="18"/>
        </w:rPr>
        <w:t>• What decision or ownership conflict slows this domain down today?</w:t>
      </w:r>
    </w:p>
    <w:p>
      <w:pPr>
        <w:pStyle w:val="LPMBullet"/>
        <w:spacing w:after="80"/>
        <w:ind w:left="259" w:hanging="173"/>
      </w:pPr>
      <w:r>
        <w:rPr>
          <w:rFonts w:ascii="Arial" w:hAnsi="Arial" w:eastAsia="Arial"/>
          <w:color w:val="1B1C19"/>
          <w:sz w:val="18"/>
        </w:rPr>
        <w:t>• What AI use case is most likely to expose this ownership gap in the next 90 days?</w:t>
      </w:r>
    </w:p>
    <w:p>
      <w:r>
        <w:br w:type="page"/>
      </w:r>
    </w:p>
    <w:p>
      <w:pPr>
        <w:spacing w:after="60" w:before="80"/>
      </w:pPr>
      <w:r>
        <w:rPr>
          <w:rFonts w:ascii="Arial" w:hAnsi="Arial" w:eastAsia="Arial"/>
          <w:b/>
          <w:color w:val="556348"/>
          <w:sz w:val="16"/>
        </w:rPr>
        <w:t>VERSION 2</w:t>
      </w:r>
    </w:p>
    <w:p>
      <w:pPr>
        <w:pStyle w:val="LPMHeading1"/>
        <w:spacing w:after="160"/>
      </w:pPr>
      <w:r>
        <w:rPr>
          <w:rFonts w:ascii="Arial" w:hAnsi="Arial" w:eastAsia="Arial"/>
        </w:rPr>
        <w:t>5,000+ employees: The scaled enterprise</w:t>
      </w:r>
    </w:p>
    <w:p>
      <w:pPr>
        <w:pStyle w:val="LPMBody"/>
        <w:spacing w:after="120"/>
      </w:pPr>
      <w:r>
        <w:rPr>
          <w:rFonts w:ascii="Arial" w:hAnsi="Arial" w:eastAsia="Arial"/>
        </w:rPr>
        <w:t>This version assumes functional maturity but cross-functional coordination breaks. The map must show ownership across business units, functions, systems, data, governance, and AI workflows.</w:t>
      </w:r>
    </w:p>
    <w:tbl>
      <w:tblPr>
        <w:tblW w:type="auto" w:w="0"/>
        <w:jc w:val="center"/>
        <w:tblLook w:firstColumn="1" w:firstRow="1" w:lastColumn="0" w:lastRow="0" w:noHBand="0" w:noVBand="1" w:val="04A0"/>
      </w:tblPr>
      <w:tblGrid>
        <w:gridCol w:w="14256"/>
      </w:tblGrid>
      <w:tr>
        <w:tc>
          <w:tcPr>
            <w:tcW w:type="dxa" w:w="14256"/>
            <w:shd w:fill="F0EEE9"/>
            <w:tcBorders>
              <w:top w:val="single" w:sz="8" w:space="0" w:color="C9C6BC"/>
              <w:left w:val="single" w:sz="8" w:space="0" w:color="C9C6BC"/>
              <w:bottom w:val="single" w:sz="8" w:space="0" w:color="C9C6BC"/>
              <w:right w:val="single" w:sz="8" w:space="0" w:color="C9C6BC"/>
              <w:insideH w:val="single" w:sz="8" w:space="0" w:color="C9C6BC"/>
              <w:insideV w:val="single" w:sz="8" w:space="0" w:color="C9C6BC"/>
            </w:tcBorders>
            <w:tcMar>
              <w:top w:w="140" w:type="dxa"/>
              <w:start w:w="170" w:type="dxa"/>
              <w:bottom w:w="140" w:type="dxa"/>
              <w:end w:w="170" w:type="dxa"/>
            </w:tcMar>
          </w:tcPr>
          <w:p>
            <w:pPr>
              <w:spacing w:after="80"/>
            </w:pPr>
            <w:r>
              <w:rPr>
                <w:rFonts w:ascii="Arial" w:hAnsi="Arial" w:eastAsia="Arial"/>
                <w:b/>
                <w:color w:val="2D3924"/>
                <w:sz w:val="20"/>
              </w:rPr>
              <w:t>Operating-model problem</w:t>
            </w:r>
          </w:p>
          <w:p>
            <w:pPr>
              <w:spacing w:after="0"/>
            </w:pPr>
            <w:r>
              <w:rPr>
                <w:rFonts w:ascii="Arial" w:hAnsi="Arial" w:eastAsia="Arial"/>
                <w:color w:val="1B1C19"/>
                <w:sz w:val="18"/>
              </w:rPr>
              <w:t>Each department has tools, processes, and leaders, but ownership breaks across handoffs. AI increases the speed of work while exposing unclear decision rights and fragmented context.</w:t>
            </w:r>
          </w:p>
        </w:tc>
      </w:tr>
    </w:tbl>
    <w:p>
      <w:pPr>
        <w:pStyle w:val="LPMHeading2"/>
        <w:spacing w:after="100"/>
      </w:pPr>
      <w:r>
        <w:rPr>
          <w:rFonts w:ascii="Arial" w:hAnsi="Arial" w:eastAsia="Arial"/>
        </w:rPr>
        <w:t>Recommended ownership model</w:t>
      </w:r>
    </w:p>
    <w:p>
      <w:pPr>
        <w:pStyle w:val="LPMBullet"/>
        <w:spacing w:after="80"/>
        <w:ind w:left="259" w:hanging="173"/>
      </w:pPr>
      <w:r>
        <w:rPr>
          <w:rFonts w:ascii="Arial" w:hAnsi="Arial" w:eastAsia="Arial"/>
          <w:color w:val="1B1C19"/>
          <w:sz w:val="18"/>
        </w:rPr>
        <w:t>• Use domain ownership plus system ownership. Do not let platform teams become de facto business owners.</w:t>
      </w:r>
    </w:p>
    <w:p>
      <w:pPr>
        <w:pStyle w:val="LPMBullet"/>
        <w:spacing w:after="80"/>
        <w:ind w:left="259" w:hanging="173"/>
      </w:pPr>
      <w:r>
        <w:rPr>
          <w:rFonts w:ascii="Arial" w:hAnsi="Arial" w:eastAsia="Arial"/>
          <w:color w:val="1B1C19"/>
          <w:sz w:val="18"/>
        </w:rPr>
        <w:t>• Separate outcome accountability from process execution and control ownership.</w:t>
      </w:r>
    </w:p>
    <w:p>
      <w:pPr>
        <w:pStyle w:val="LPMBullet"/>
        <w:spacing w:after="80"/>
        <w:ind w:left="259" w:hanging="173"/>
      </w:pPr>
      <w:r>
        <w:rPr>
          <w:rFonts w:ascii="Arial" w:hAnsi="Arial" w:eastAsia="Arial"/>
          <w:color w:val="1B1C19"/>
          <w:sz w:val="18"/>
        </w:rPr>
        <w:t>• Create an enterprise AI intake path that requires owner, data source, control owner, and human-review model.</w:t>
      </w:r>
    </w:p>
    <w:p>
      <w:pPr>
        <w:pStyle w:val="LPMBullet"/>
        <w:spacing w:after="80"/>
        <w:ind w:left="259" w:hanging="173"/>
      </w:pPr>
      <w:r>
        <w:rPr>
          <w:rFonts w:ascii="Arial" w:hAnsi="Arial" w:eastAsia="Arial"/>
          <w:color w:val="1B1C19"/>
          <w:sz w:val="18"/>
        </w:rPr>
        <w:t>• Use the map to identify cross-functional collisions before buying or deploying more tools.</w:t>
      </w:r>
    </w:p>
    <w:tbl>
      <w:tblPr>
        <w:tblW w:type="auto" w:w="0"/>
        <w:jc w:val="center"/>
        <w:tblLayout w:type="autofit"/>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blHeader w:val="true"/>
        </w:trPr>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Enterprise domain</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Executive sponsor</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Business owner</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Decision authority</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Process owner</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Data / knowledge owner</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System owner</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Control owner</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AI workflow owner</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Evidence + health</w:t>
            </w:r>
          </w:p>
        </w:tc>
      </w:tr>
      <w:tr>
        <w:tc>
          <w:tcPr>
            <w:tcW w:type="dxa" w:w="1426"/>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Customer onboarding</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[Exec sponsor]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[BU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1"/>
              </w:rPr>
              <w:t>Decision: onboarding policy, exceptions, SLA</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[Process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[Customer data steward]</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[CRM / workflow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[Risk/control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[AI workflow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Evidence: journey map, SLA, CRM config</w:t>
            </w:r>
            <w:r>
              <w:br/>
            </w:r>
            <w:r>
              <w:rPr>
                <w:rFonts w:ascii="Arial" w:hAnsi="Arial" w:eastAsia="Arial"/>
                <w:b w:val="0"/>
                <w:color w:val="1B1C19"/>
                <w:sz w:val="11"/>
              </w:rPr>
              <w:t>Health: [0-3]</w:t>
            </w:r>
          </w:p>
        </w:tc>
      </w:tr>
      <w:tr>
        <w:tc>
          <w:tcPr>
            <w:tcW w:type="dxa" w:w="1426"/>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Revenue operations</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[Exec sponsor]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[Sales ops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1"/>
              </w:rPr>
              <w:t>Decision: lead routing, pipeline definitions</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[RevOps lead]</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[Revenue data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[CRM / BI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[SOX / policy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[AI sales assist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Evidence: pipeline policy, data dictionary</w:t>
            </w:r>
            <w:r>
              <w:br/>
            </w:r>
            <w:r>
              <w:rPr>
                <w:rFonts w:ascii="Arial" w:hAnsi="Arial" w:eastAsia="Arial"/>
                <w:b w:val="0"/>
                <w:color w:val="1B1C19"/>
                <w:sz w:val="11"/>
              </w:rPr>
              <w:t>Health: [0-3]</w:t>
            </w:r>
          </w:p>
        </w:tc>
      </w:tr>
      <w:tr>
        <w:tc>
          <w:tcPr>
            <w:tcW w:type="dxa" w:w="1426"/>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Product portfolio intake</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[Exec sponsor]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[Portfolio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1"/>
              </w:rPr>
              <w:t>Decision: priority, funding, sequencing</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[Portfolio ops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[Roadmap data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[Jira / Aha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[Governance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[AI planning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Evidence: intake board, scoring model</w:t>
            </w:r>
            <w:r>
              <w:br/>
            </w:r>
            <w:r>
              <w:rPr>
                <w:rFonts w:ascii="Arial" w:hAnsi="Arial" w:eastAsia="Arial"/>
                <w:b w:val="0"/>
                <w:color w:val="1B1C19"/>
                <w:sz w:val="11"/>
              </w:rPr>
              <w:t>Health: [0-3]</w:t>
            </w:r>
          </w:p>
        </w:tc>
      </w:tr>
      <w:tr>
        <w:tc>
          <w:tcPr>
            <w:tcW w:type="dxa" w:w="1426"/>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Employee service</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[Exec sponsor]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[HR service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1"/>
              </w:rPr>
              <w:t>Decision: service tiers, policy exceptions</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[HR ops lead]</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[People knowledge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[HRIS / service platform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[Policy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[HR AI support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Evidence: service catalog, policy pages</w:t>
            </w:r>
            <w:r>
              <w:br/>
            </w:r>
            <w:r>
              <w:rPr>
                <w:rFonts w:ascii="Arial" w:hAnsi="Arial" w:eastAsia="Arial"/>
                <w:b w:val="0"/>
                <w:color w:val="1B1C19"/>
                <w:sz w:val="11"/>
              </w:rPr>
              <w:t>Health: [0-3]</w:t>
            </w:r>
          </w:p>
        </w:tc>
      </w:tr>
      <w:tr>
        <w:tc>
          <w:tcPr>
            <w:tcW w:type="dxa" w:w="1426"/>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Data and BI</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[Exec sponsor]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[Analytics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1"/>
              </w:rPr>
              <w:t>Decision: metric definitions, certified sources</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[BI operations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[Data product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[Warehouse / BI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[Data governance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[AI analytics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Evidence: semantic layer, metric catalog</w:t>
            </w:r>
            <w:r>
              <w:br/>
            </w:r>
            <w:r>
              <w:rPr>
                <w:rFonts w:ascii="Arial" w:hAnsi="Arial" w:eastAsia="Arial"/>
                <w:b w:val="0"/>
                <w:color w:val="1B1C19"/>
                <w:sz w:val="11"/>
              </w:rPr>
              <w:t>Health: [0-3]</w:t>
            </w:r>
          </w:p>
        </w:tc>
      </w:tr>
      <w:tr>
        <w:tc>
          <w:tcPr>
            <w:tcW w:type="dxa" w:w="1426"/>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AI pilot intake</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[Exec sponsor]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[Business use-case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1"/>
              </w:rPr>
              <w:t>Decision: pilot approval, risk acceptance</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[Transformation / product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[Input data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[AI platform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[AI governance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[Human-in-loop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Evidence: intake record, model card, controls</w:t>
            </w:r>
            <w:r>
              <w:br/>
            </w:r>
            <w:r>
              <w:rPr>
                <w:rFonts w:ascii="Arial" w:hAnsi="Arial" w:eastAsia="Arial"/>
                <w:b w:val="0"/>
                <w:color w:val="1B1C19"/>
                <w:sz w:val="11"/>
              </w:rPr>
              <w:t>Health: [0-3]</w:t>
            </w:r>
          </w:p>
        </w:tc>
      </w:tr>
    </w:tbl>
    <w:p>
      <w:r>
        <w:br w:type="page"/>
      </w:r>
    </w:p>
    <w:p>
      <w:pPr>
        <w:spacing w:after="60" w:before="80"/>
      </w:pPr>
      <w:r>
        <w:rPr>
          <w:rFonts w:ascii="Arial" w:hAnsi="Arial" w:eastAsia="Arial"/>
          <w:b/>
          <w:color w:val="556348"/>
          <w:sz w:val="16"/>
        </w:rPr>
        <w:t>5,000+ WORKSHEET</w:t>
      </w:r>
    </w:p>
    <w:p>
      <w:pPr>
        <w:pStyle w:val="LPMHeading1"/>
        <w:spacing w:after="160"/>
      </w:pPr>
      <w:r>
        <w:rPr>
          <w:rFonts w:ascii="Arial" w:hAnsi="Arial" w:eastAsia="Arial"/>
        </w:rPr>
        <w:t>5,000+ fill-in map</w:t>
      </w:r>
    </w:p>
    <w:tbl>
      <w:tblPr>
        <w:tblW w:type="auto" w:w="0"/>
        <w:jc w:val="center"/>
        <w:tblLayout w:type="autofit"/>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blHeader w:val="true"/>
        </w:trPr>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Enterprise domain</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Executive sponsor</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Business owner</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Decision authority</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Process owner</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Data / knowledge owner</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System owner</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Control owner</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AI workflow owner</w:t>
            </w:r>
          </w:p>
        </w:tc>
        <w:tc>
          <w:tcPr>
            <w:tcW w:type="dxa" w:w="1426"/>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Evidence + health</w:t>
            </w:r>
          </w:p>
        </w:tc>
      </w:tr>
      <w:tr>
        <w:tc>
          <w:tcPr>
            <w:tcW w:type="dxa" w:w="1426"/>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r>
      <w:tr>
        <w:tc>
          <w:tcPr>
            <w:tcW w:type="dxa" w:w="1426"/>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r>
      <w:tr>
        <w:tc>
          <w:tcPr>
            <w:tcW w:type="dxa" w:w="1426"/>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r>
      <w:tr>
        <w:tc>
          <w:tcPr>
            <w:tcW w:type="dxa" w:w="1426"/>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r>
      <w:tr>
        <w:tc>
          <w:tcPr>
            <w:tcW w:type="dxa" w:w="1426"/>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r>
      <w:tr>
        <w:tc>
          <w:tcPr>
            <w:tcW w:type="dxa" w:w="1426"/>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r>
      <w:tr>
        <w:tc>
          <w:tcPr>
            <w:tcW w:type="dxa" w:w="1426"/>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r>
    </w:tbl>
    <w:p>
      <w:pPr>
        <w:pStyle w:val="LPMHeading2"/>
        <w:spacing w:after="100"/>
      </w:pPr>
      <w:r>
        <w:rPr>
          <w:rFonts w:ascii="Arial" w:hAnsi="Arial" w:eastAsia="Arial"/>
        </w:rPr>
        <w:t>Cross-functional ownership questions</w:t>
      </w:r>
    </w:p>
    <w:p>
      <w:pPr>
        <w:pStyle w:val="LPMBullet"/>
        <w:spacing w:after="80"/>
        <w:ind w:left="259" w:hanging="173"/>
      </w:pPr>
      <w:r>
        <w:rPr>
          <w:rFonts w:ascii="Arial" w:hAnsi="Arial" w:eastAsia="Arial"/>
          <w:color w:val="1B1C19"/>
          <w:sz w:val="18"/>
        </w:rPr>
        <w:t>• Where does business accountability differ from system ownership?</w:t>
      </w:r>
    </w:p>
    <w:p>
      <w:pPr>
        <w:pStyle w:val="LPMBullet"/>
        <w:spacing w:after="80"/>
        <w:ind w:left="259" w:hanging="173"/>
      </w:pPr>
      <w:r>
        <w:rPr>
          <w:rFonts w:ascii="Arial" w:hAnsi="Arial" w:eastAsia="Arial"/>
          <w:color w:val="1B1C19"/>
          <w:sz w:val="18"/>
        </w:rPr>
        <w:t>• Which decisions are trapped between functions because no one owns the tradeoff?</w:t>
      </w:r>
    </w:p>
    <w:p>
      <w:pPr>
        <w:pStyle w:val="LPMBullet"/>
        <w:spacing w:after="80"/>
        <w:ind w:left="259" w:hanging="173"/>
      </w:pPr>
      <w:r>
        <w:rPr>
          <w:rFonts w:ascii="Arial" w:hAnsi="Arial" w:eastAsia="Arial"/>
          <w:color w:val="1B1C19"/>
          <w:sz w:val="18"/>
        </w:rPr>
        <w:t>• Which data or knowledge source would an AI workflow depend on?</w:t>
      </w:r>
    </w:p>
    <w:p>
      <w:pPr>
        <w:pStyle w:val="LPMBullet"/>
        <w:spacing w:after="80"/>
        <w:ind w:left="259" w:hanging="173"/>
      </w:pPr>
      <w:r>
        <w:rPr>
          <w:rFonts w:ascii="Arial" w:hAnsi="Arial" w:eastAsia="Arial"/>
          <w:color w:val="1B1C19"/>
          <w:sz w:val="18"/>
        </w:rPr>
        <w:t>• Who owns the control evidence if an AI-assisted decision is challenged?</w:t>
      </w:r>
    </w:p>
    <w:p>
      <w:pPr>
        <w:pStyle w:val="LPMBullet"/>
        <w:spacing w:after="80"/>
        <w:ind w:left="259" w:hanging="173"/>
      </w:pPr>
      <w:r>
        <w:rPr>
          <w:rFonts w:ascii="Arial" w:hAnsi="Arial" w:eastAsia="Arial"/>
          <w:color w:val="1B1C19"/>
          <w:sz w:val="18"/>
        </w:rPr>
        <w:t>• What work should be stopped until the ownership chain is clear?</w:t>
      </w:r>
    </w:p>
    <w:p>
      <w:r>
        <w:br w:type="page"/>
      </w:r>
    </w:p>
    <w:p>
      <w:pPr>
        <w:spacing w:after="60" w:before="80"/>
      </w:pPr>
      <w:r>
        <w:rPr>
          <w:rFonts w:ascii="Arial" w:hAnsi="Arial" w:eastAsia="Arial"/>
          <w:b/>
          <w:color w:val="556348"/>
          <w:sz w:val="16"/>
        </w:rPr>
        <w:t>VERSION 3</w:t>
      </w:r>
    </w:p>
    <w:p>
      <w:pPr>
        <w:pStyle w:val="LPMHeading1"/>
        <w:spacing w:after="160"/>
      </w:pPr>
      <w:r>
        <w:rPr>
          <w:rFonts w:ascii="Arial" w:hAnsi="Arial" w:eastAsia="Arial"/>
        </w:rPr>
        <w:t>10,000+ employees: The federated enterprise</w:t>
      </w:r>
    </w:p>
    <w:p>
      <w:pPr>
        <w:pStyle w:val="LPMBody"/>
        <w:spacing w:after="120"/>
      </w:pPr>
      <w:r>
        <w:rPr>
          <w:rFonts w:ascii="Arial" w:hAnsi="Arial" w:eastAsia="Arial"/>
        </w:rPr>
        <w:t>This version assumes geographic, business-unit, regulatory, and platform complexity. Ownership must be federated: global standards with local authority, clear controls, and evidence that survives audit.</w:t>
      </w:r>
    </w:p>
    <w:tbl>
      <w:tblPr>
        <w:tblW w:type="auto" w:w="0"/>
        <w:jc w:val="center"/>
        <w:tblLook w:firstColumn="1" w:firstRow="1" w:lastColumn="0" w:lastRow="0" w:noHBand="0" w:noVBand="1" w:val="04A0"/>
      </w:tblPr>
      <w:tblGrid>
        <w:gridCol w:w="14256"/>
      </w:tblGrid>
      <w:tr>
        <w:tc>
          <w:tcPr>
            <w:tcW w:type="dxa" w:w="14256"/>
            <w:shd w:fill="D9C5B2"/>
            <w:tcBorders>
              <w:top w:val="single" w:sz="8" w:space="0" w:color="C9C6BC"/>
              <w:left w:val="single" w:sz="8" w:space="0" w:color="C9C6BC"/>
              <w:bottom w:val="single" w:sz="8" w:space="0" w:color="C9C6BC"/>
              <w:right w:val="single" w:sz="8" w:space="0" w:color="C9C6BC"/>
              <w:insideH w:val="single" w:sz="8" w:space="0" w:color="C9C6BC"/>
              <w:insideV w:val="single" w:sz="8" w:space="0" w:color="C9C6BC"/>
            </w:tcBorders>
            <w:tcMar>
              <w:top w:w="140" w:type="dxa"/>
              <w:start w:w="170" w:type="dxa"/>
              <w:bottom w:w="140" w:type="dxa"/>
              <w:end w:w="170" w:type="dxa"/>
            </w:tcMar>
          </w:tcPr>
          <w:p>
            <w:pPr>
              <w:spacing w:after="80"/>
            </w:pPr>
            <w:r>
              <w:rPr>
                <w:rFonts w:ascii="Arial" w:hAnsi="Arial" w:eastAsia="Arial"/>
                <w:b/>
                <w:color w:val="2D3924"/>
                <w:sz w:val="20"/>
              </w:rPr>
              <w:t>Operating-model problem</w:t>
            </w:r>
          </w:p>
          <w:p>
            <w:pPr>
              <w:spacing w:after="0"/>
            </w:pPr>
            <w:r>
              <w:rPr>
                <w:rFonts w:ascii="Arial" w:hAnsi="Arial" w:eastAsia="Arial"/>
                <w:color w:val="1B1C19"/>
                <w:sz w:val="18"/>
              </w:rPr>
              <w:t>The enterprise already has governance, but it is often fragmented across regions, legal entities, shared services, and platforms. AI creates new control paths that require named owners across policy, data, systems, agent behavior, and audit evidence.</w:t>
            </w:r>
          </w:p>
        </w:tc>
      </w:tr>
    </w:tbl>
    <w:p>
      <w:pPr>
        <w:pStyle w:val="LPMHeading2"/>
        <w:spacing w:after="100"/>
      </w:pPr>
      <w:r>
        <w:rPr>
          <w:rFonts w:ascii="Arial" w:hAnsi="Arial" w:eastAsia="Arial"/>
        </w:rPr>
        <w:t>Recommended ownership model</w:t>
      </w:r>
    </w:p>
    <w:p>
      <w:pPr>
        <w:pStyle w:val="LPMBullet"/>
        <w:spacing w:after="80"/>
        <w:ind w:left="259" w:hanging="173"/>
      </w:pPr>
      <w:r>
        <w:rPr>
          <w:rFonts w:ascii="Arial" w:hAnsi="Arial" w:eastAsia="Arial"/>
          <w:color w:val="1B1C19"/>
          <w:sz w:val="18"/>
        </w:rPr>
        <w:t>• Define global accountable owner, regional/local owner, process owner, system owner, data owner, control owner, and AI/model owner separately.</w:t>
      </w:r>
    </w:p>
    <w:p>
      <w:pPr>
        <w:pStyle w:val="LPMBullet"/>
        <w:spacing w:after="80"/>
        <w:ind w:left="259" w:hanging="173"/>
      </w:pPr>
      <w:r>
        <w:rPr>
          <w:rFonts w:ascii="Arial" w:hAnsi="Arial" w:eastAsia="Arial"/>
          <w:color w:val="1B1C19"/>
          <w:sz w:val="18"/>
        </w:rPr>
        <w:t>• Use a federated ownership chain: global principle, local implementation, platform control, audit evidence.</w:t>
      </w:r>
    </w:p>
    <w:p>
      <w:pPr>
        <w:pStyle w:val="LPMBullet"/>
        <w:spacing w:after="80"/>
        <w:ind w:left="259" w:hanging="173"/>
      </w:pPr>
      <w:r>
        <w:rPr>
          <w:rFonts w:ascii="Arial" w:hAnsi="Arial" w:eastAsia="Arial"/>
          <w:color w:val="1B1C19"/>
          <w:sz w:val="18"/>
        </w:rPr>
        <w:t>• Tie AI workflows to policy, data provenance, human review, and exception handling before deployment.</w:t>
      </w:r>
    </w:p>
    <w:p>
      <w:pPr>
        <w:pStyle w:val="LPMBullet"/>
        <w:spacing w:after="80"/>
        <w:ind w:left="259" w:hanging="173"/>
      </w:pPr>
      <w:r>
        <w:rPr>
          <w:rFonts w:ascii="Arial" w:hAnsi="Arial" w:eastAsia="Arial"/>
          <w:color w:val="1B1C19"/>
          <w:sz w:val="18"/>
        </w:rPr>
        <w:t>• Make ownership queryable. Leaders should be able to ask who owns a decision, control, agent, dataset, or system and get the current answer.</w:t>
      </w:r>
    </w:p>
    <w:tbl>
      <w:tblPr>
        <w:tblW w:type="auto" w:w="0"/>
        <w:jc w:val="center"/>
        <w:tblLayout w:type="autofit"/>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blHeader w:val="true"/>
        </w:trPr>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Global domain</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Global accountable owner</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Regional / BU owner</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Decision rights</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Process / service owner</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Data / knowledge owner</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Platform owner</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Control / policy owner</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AI / model owner</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Audit evidence + trigger</w:t>
            </w:r>
          </w:p>
        </w:tc>
      </w:tr>
      <w:tr>
        <w:tc>
          <w:tcPr>
            <w:tcW w:type="dxa" w:w="1426"/>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Global customer operations</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[Global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[Region / BU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1"/>
              </w:rPr>
              <w:t>Decision: global standards vs local exceptions</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[Service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[Customer data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[CRM / service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[Control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[AI service agent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Evidence: global standard, regional exception log</w:t>
            </w:r>
            <w:r>
              <w:br/>
            </w:r>
            <w:r>
              <w:rPr>
                <w:rFonts w:ascii="Arial" w:hAnsi="Arial" w:eastAsia="Arial"/>
                <w:b/>
                <w:color w:val="9A6E29"/>
                <w:sz w:val="11"/>
              </w:rPr>
              <w:t>Trigger: local variation lacks approved owner</w:t>
            </w:r>
          </w:p>
        </w:tc>
      </w:tr>
      <w:tr>
        <w:tc>
          <w:tcPr>
            <w:tcW w:type="dxa" w:w="1426"/>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Enterprise data foundation</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[Global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[Data domain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1"/>
              </w:rPr>
              <w:t>Decision: certified source, metric definition, access</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[Data product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[Data steward]</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[Warehouse / lakehouse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[Data governance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[AI data usage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Evidence: data catalog, lineage, access reviews</w:t>
            </w:r>
            <w:r>
              <w:br/>
            </w:r>
            <w:r>
              <w:rPr>
                <w:rFonts w:ascii="Arial" w:hAnsi="Arial" w:eastAsia="Arial"/>
                <w:b/>
                <w:color w:val="9A6E29"/>
                <w:sz w:val="11"/>
              </w:rPr>
              <w:t>Trigger: AI uses uncertified or stale data</w:t>
            </w:r>
          </w:p>
        </w:tc>
      </w:tr>
      <w:tr>
        <w:tc>
          <w:tcPr>
            <w:tcW w:type="dxa" w:w="1426"/>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Workforce operations</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[Global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[Region / legal entity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1"/>
              </w:rPr>
              <w:t>Decision: policy, employee data use, local labor rules</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[HR service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[People knowledge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[HRIS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[Legal / compliance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[AI HR agent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Evidence: policy inventory, country addenda</w:t>
            </w:r>
            <w:r>
              <w:br/>
            </w:r>
            <w:r>
              <w:rPr>
                <w:rFonts w:ascii="Arial" w:hAnsi="Arial" w:eastAsia="Arial"/>
                <w:b/>
                <w:color w:val="9A6E29"/>
                <w:sz w:val="11"/>
              </w:rPr>
              <w:t>Trigger: AI output crosses policy or regional boundary</w:t>
            </w:r>
          </w:p>
        </w:tc>
      </w:tr>
      <w:tr>
        <w:tc>
          <w:tcPr>
            <w:tcW w:type="dxa" w:w="1426"/>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Technology portfolio</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[Global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[Platform / domain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1"/>
              </w:rPr>
              <w:t>Decision: investment, rationalization, architecture</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[Portfolio ops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[App/system data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[ITSM / portfolio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[Architecture governance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[AI software delivery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Evidence: app catalog, architecture decision records</w:t>
            </w:r>
            <w:r>
              <w:br/>
            </w:r>
            <w:r>
              <w:rPr>
                <w:rFonts w:ascii="Arial" w:hAnsi="Arial" w:eastAsia="Arial"/>
                <w:b/>
                <w:color w:val="9A6E29"/>
                <w:sz w:val="11"/>
              </w:rPr>
              <w:t>Trigger: duplicate AI tools or ownerless apps</w:t>
            </w:r>
          </w:p>
        </w:tc>
      </w:tr>
      <w:tr>
        <w:tc>
          <w:tcPr>
            <w:tcW w:type="dxa" w:w="1426"/>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Risk and controls</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[Global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[Risk domain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1"/>
              </w:rPr>
              <w:t>Decision: control standard, risk acceptance</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[Control operations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[Control evidence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[GRC platform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[Policy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[AI risk assessment owner]</w:t>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Evidence: control library, test results, issue log</w:t>
            </w:r>
            <w:r>
              <w:br/>
            </w:r>
            <w:r>
              <w:rPr>
                <w:rFonts w:ascii="Arial" w:hAnsi="Arial" w:eastAsia="Arial"/>
                <w:b/>
                <w:color w:val="9A6E29"/>
                <w:sz w:val="11"/>
              </w:rPr>
              <w:t>Trigger: AI-assisted control lacks accountability</w:t>
            </w:r>
          </w:p>
        </w:tc>
      </w:tr>
      <w:tr>
        <w:tc>
          <w:tcPr>
            <w:tcW w:type="dxa" w:w="1426"/>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Agentic AI operations</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[Global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[Business use-case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color w:val="556348"/>
                <w:sz w:val="11"/>
              </w:rPr>
              <w:t>Decision: agent permissions, autonomy, rollback</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[Agent operations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[Prompt/context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[AI platform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[AI governance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[Model/agent owner]</w:t>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t>Evidence: model card, evals, approvals, incidents</w:t>
            </w:r>
            <w:r>
              <w:br/>
            </w:r>
            <w:r>
              <w:rPr>
                <w:rFonts w:ascii="Arial" w:hAnsi="Arial" w:eastAsia="Arial"/>
                <w:b/>
                <w:color w:val="9A6E29"/>
                <w:sz w:val="11"/>
              </w:rPr>
              <w:t>Trigger: agent acts outside policy or lineage</w:t>
            </w:r>
          </w:p>
        </w:tc>
      </w:tr>
    </w:tbl>
    <w:p>
      <w:r>
        <w:br w:type="page"/>
      </w:r>
    </w:p>
    <w:p>
      <w:pPr>
        <w:spacing w:after="60" w:before="80"/>
      </w:pPr>
      <w:r>
        <w:rPr>
          <w:rFonts w:ascii="Arial" w:hAnsi="Arial" w:eastAsia="Arial"/>
          <w:b/>
          <w:color w:val="556348"/>
          <w:sz w:val="16"/>
        </w:rPr>
        <w:t>10,000+ WORKSHEET</w:t>
      </w:r>
    </w:p>
    <w:p>
      <w:pPr>
        <w:pStyle w:val="LPMHeading1"/>
        <w:spacing w:after="160"/>
      </w:pPr>
      <w:r>
        <w:rPr>
          <w:rFonts w:ascii="Arial" w:hAnsi="Arial" w:eastAsia="Arial"/>
        </w:rPr>
        <w:t>10,000+ fill-in map</w:t>
      </w:r>
    </w:p>
    <w:tbl>
      <w:tblPr>
        <w:tblW w:type="auto" w:w="0"/>
        <w:jc w:val="center"/>
        <w:tblLayout w:type="autofit"/>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blHeader w:val="true"/>
        </w:trPr>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Global domain</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Global accountable owner</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Regional / BU owner</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Decision rights</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Process / service owner</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Data / knowledge owner</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Platform owner</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Control / policy owner</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AI / model owner</w:t>
            </w:r>
          </w:p>
        </w:tc>
        <w:tc>
          <w:tcPr>
            <w:tcW w:type="dxa" w:w="1426"/>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1"/>
              </w:rPr>
              <w:t>Audit evidence + trigger</w:t>
            </w:r>
          </w:p>
        </w:tc>
      </w:tr>
      <w:tr>
        <w:tc>
          <w:tcPr>
            <w:tcW w:type="dxa" w:w="1426"/>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r>
      <w:tr>
        <w:tc>
          <w:tcPr>
            <w:tcW w:type="dxa" w:w="1426"/>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r>
      <w:tr>
        <w:tc>
          <w:tcPr>
            <w:tcW w:type="dxa" w:w="1426"/>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r>
      <w:tr>
        <w:tc>
          <w:tcPr>
            <w:tcW w:type="dxa" w:w="1426"/>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r>
      <w:tr>
        <w:tc>
          <w:tcPr>
            <w:tcW w:type="dxa" w:w="1426"/>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r>
      <w:tr>
        <w:tc>
          <w:tcPr>
            <w:tcW w:type="dxa" w:w="1426"/>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r>
      <w:tr>
        <w:tc>
          <w:tcPr>
            <w:tcW w:type="dxa" w:w="1426"/>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c>
          <w:tcPr>
            <w:tcW w:type="dxa" w:w="1426"/>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1"/>
              </w:rPr>
            </w:r>
          </w:p>
        </w:tc>
      </w:tr>
    </w:tbl>
    <w:p>
      <w:pPr>
        <w:pStyle w:val="LPMHeading2"/>
        <w:spacing w:after="100"/>
      </w:pPr>
      <w:r>
        <w:rPr>
          <w:rFonts w:ascii="Arial" w:hAnsi="Arial" w:eastAsia="Arial"/>
        </w:rPr>
        <w:t>Federated ownership questions</w:t>
      </w:r>
    </w:p>
    <w:p>
      <w:pPr>
        <w:pStyle w:val="LPMBullet"/>
        <w:spacing w:after="80"/>
        <w:ind w:left="259" w:hanging="173"/>
      </w:pPr>
      <w:r>
        <w:rPr>
          <w:rFonts w:ascii="Arial" w:hAnsi="Arial" w:eastAsia="Arial"/>
          <w:color w:val="1B1C19"/>
          <w:sz w:val="18"/>
        </w:rPr>
        <w:t>• Which decisions are global standards and which are local exceptions?</w:t>
      </w:r>
    </w:p>
    <w:p>
      <w:pPr>
        <w:pStyle w:val="LPMBullet"/>
        <w:spacing w:after="80"/>
        <w:ind w:left="259" w:hanging="173"/>
      </w:pPr>
      <w:r>
        <w:rPr>
          <w:rFonts w:ascii="Arial" w:hAnsi="Arial" w:eastAsia="Arial"/>
          <w:color w:val="1B1C19"/>
          <w:sz w:val="18"/>
        </w:rPr>
        <w:t>• Who owns evidence when work crosses region, platform, legal entity, or AI workflow?</w:t>
      </w:r>
    </w:p>
    <w:p>
      <w:pPr>
        <w:pStyle w:val="LPMBullet"/>
        <w:spacing w:after="80"/>
        <w:ind w:left="259" w:hanging="173"/>
      </w:pPr>
      <w:r>
        <w:rPr>
          <w:rFonts w:ascii="Arial" w:hAnsi="Arial" w:eastAsia="Arial"/>
          <w:color w:val="1B1C19"/>
          <w:sz w:val="18"/>
        </w:rPr>
        <w:t>• What owner can approve or reverse agent permissions?</w:t>
      </w:r>
    </w:p>
    <w:p>
      <w:pPr>
        <w:pStyle w:val="LPMBullet"/>
        <w:spacing w:after="80"/>
        <w:ind w:left="259" w:hanging="173"/>
      </w:pPr>
      <w:r>
        <w:rPr>
          <w:rFonts w:ascii="Arial" w:hAnsi="Arial" w:eastAsia="Arial"/>
          <w:color w:val="1B1C19"/>
          <w:sz w:val="18"/>
        </w:rPr>
        <w:t>• Where does policy conflict with business speed?</w:t>
      </w:r>
    </w:p>
    <w:p>
      <w:pPr>
        <w:pStyle w:val="LPMBullet"/>
        <w:spacing w:after="80"/>
        <w:ind w:left="259" w:hanging="173"/>
      </w:pPr>
      <w:r>
        <w:rPr>
          <w:rFonts w:ascii="Arial" w:hAnsi="Arial" w:eastAsia="Arial"/>
          <w:color w:val="1B1C19"/>
          <w:sz w:val="18"/>
        </w:rPr>
        <w:t>• What must be queryable by executives, auditors, and AI copilots?</w:t>
      </w:r>
    </w:p>
    <w:p>
      <w:r>
        <w:br w:type="page"/>
      </w:r>
    </w:p>
    <w:p>
      <w:pPr>
        <w:spacing w:after="60" w:before="80"/>
      </w:pPr>
      <w:r>
        <w:rPr>
          <w:rFonts w:ascii="Arial" w:hAnsi="Arial" w:eastAsia="Arial"/>
          <w:b/>
          <w:color w:val="556348"/>
          <w:sz w:val="16"/>
        </w:rPr>
        <w:t>IMPLEMENTATION GUIDE</w:t>
      </w:r>
    </w:p>
    <w:p>
      <w:pPr>
        <w:pStyle w:val="LPMHeading1"/>
        <w:spacing w:after="160"/>
      </w:pPr>
      <w:r>
        <w:rPr>
          <w:rFonts w:ascii="Arial" w:hAnsi="Arial" w:eastAsia="Arial"/>
        </w:rPr>
        <w:t>Make the Ownership Map a living knowledge object</w:t>
      </w:r>
    </w:p>
    <w:p>
      <w:pPr>
        <w:pStyle w:val="LPMBody"/>
        <w:spacing w:after="120"/>
      </w:pPr>
      <w:r>
        <w:rPr>
          <w:rFonts w:ascii="Arial" w:hAnsi="Arial" w:eastAsia="Arial"/>
        </w:rPr>
        <w:t>For the LPM website, treat the download as the entry point, not the product. The stronger move is to make every artifact part of a governed knowledge system that companies can reuse, update, score, and eventually connect into Lapemo.</w:t>
      </w:r>
    </w:p>
    <w:tbl>
      <w:tblPr>
        <w:tblW w:type="auto" w:w="0"/>
        <w:jc w:val="center"/>
        <w:tblLayout w:type="autofit"/>
        <w:tblLook w:firstColumn="1" w:firstRow="1" w:lastColumn="0" w:lastRow="0" w:noHBand="0" w:noVBand="1" w:val="04A0"/>
      </w:tblPr>
      <w:tblGrid>
        <w:gridCol w:w="4752"/>
        <w:gridCol w:w="4752"/>
        <w:gridCol w:w="4752"/>
      </w:tblGrid>
      <w:tr>
        <w:trPr>
          <w:tblHeader w:val="true"/>
        </w:trPr>
        <w:tc>
          <w:tcPr>
            <w:tcW w:type="dxa" w:w="4752"/>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5"/>
              </w:rPr>
              <w:t>Component</w:t>
            </w:r>
          </w:p>
        </w:tc>
        <w:tc>
          <w:tcPr>
            <w:tcW w:type="dxa" w:w="4752"/>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5"/>
              </w:rPr>
              <w:t>Meaning</w:t>
            </w:r>
          </w:p>
        </w:tc>
        <w:tc>
          <w:tcPr>
            <w:tcW w:type="dxa" w:w="4752"/>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5"/>
              </w:rPr>
              <w:t>Website / product use</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Knowledge object</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A versioned source of truth with metadata, owners, inputs, outputs, and update rules.</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Every artifact has a canonical page and downloadable versions.</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Guided skill</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An AI-assisted workflow that interviews the company, fills the map, identifies gaps, and produces actions.</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The website can offer “Run this map with your team.”</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Company profile logic</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500, 5,000, and 10,000+ profiles change the depth of ownership required.</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The same skill can adapt to company complexity.</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Auto-refresh signals</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Events that should trigger review: org change, new AI workflow, system migration, control issue, stale documentation.</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Automation flags issues; humans approve updates.</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Evidence-first updates</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Changes should reference proof, not memory.</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Jira, Confluence, policy docs, system catalog, HRIS, GRC, model cards.</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Lapemo integration</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Ownership maps become part of the control layer.</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Dashboards can show ownerless domains, stale evidence, AI risk, and broken lineage.</w:t>
            </w:r>
          </w:p>
        </w:tc>
      </w:tr>
    </w:tbl>
    <w:p>
      <w:pPr>
        <w:pStyle w:val="LPMHeading2"/>
        <w:spacing w:after="100"/>
      </w:pPr>
      <w:r>
        <w:rPr>
          <w:rFonts w:ascii="Arial" w:hAnsi="Arial" w:eastAsia="Arial"/>
        </w:rPr>
        <w:t>Suggested metadata for every website artifact</w:t>
      </w:r>
    </w:p>
    <w:tbl>
      <w:tblPr>
        <w:tblW w:type="auto" w:w="0"/>
        <w:jc w:val="center"/>
        <w:tblLayout w:type="autofit"/>
        <w:tblLook w:firstColumn="1" w:firstRow="1" w:lastColumn="0" w:lastRow="0" w:noHBand="0" w:noVBand="1" w:val="04A0"/>
      </w:tblPr>
      <w:tblGrid>
        <w:gridCol w:w="7128"/>
        <w:gridCol w:w="7128"/>
      </w:tblGrid>
      <w:tr>
        <w:trPr>
          <w:tblHeader w:val="true"/>
        </w:trPr>
        <w:tc>
          <w:tcPr>
            <w:tcW w:type="dxa" w:w="7128"/>
            <w:shd w:fill="556348"/>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6"/>
              </w:rPr>
              <w:t>Metadata field</w:t>
            </w:r>
          </w:p>
        </w:tc>
        <w:tc>
          <w:tcPr>
            <w:tcW w:type="dxa" w:w="7128"/>
            <w:shd w:fill="556348"/>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6"/>
              </w:rPr>
              <w:t>Recommended value</w:t>
            </w:r>
          </w:p>
        </w:tc>
      </w:tr>
      <w:tr>
        <w:tc>
          <w:tcPr>
            <w:tcW w:type="dxa" w:w="7128"/>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artifact_id</w:t>
            </w:r>
          </w:p>
        </w:tc>
        <w:tc>
          <w:tcPr>
            <w:tcW w:type="dxa" w:w="7128"/>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lpm.ownership_map.v1</w:t>
            </w:r>
          </w:p>
        </w:tc>
      </w:tr>
      <w:tr>
        <w:tc>
          <w:tcPr>
            <w:tcW w:type="dxa" w:w="7128"/>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artifact_type</w:t>
            </w:r>
          </w:p>
        </w:tc>
        <w:tc>
          <w:tcPr>
            <w:tcW w:type="dxa" w:w="7128"/>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Template + Skill</w:t>
            </w:r>
          </w:p>
        </w:tc>
      </w:tr>
      <w:tr>
        <w:tc>
          <w:tcPr>
            <w:tcW w:type="dxa" w:w="7128"/>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company_profiles</w:t>
            </w:r>
          </w:p>
        </w:tc>
        <w:tc>
          <w:tcPr>
            <w:tcW w:type="dxa" w:w="7128"/>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500+, 5,000+, 10,000+</w:t>
            </w:r>
          </w:p>
        </w:tc>
      </w:tr>
      <w:tr>
        <w:tc>
          <w:tcPr>
            <w:tcW w:type="dxa" w:w="7128"/>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lpm_layers</w:t>
            </w:r>
          </w:p>
        </w:tc>
        <w:tc>
          <w:tcPr>
            <w:tcW w:type="dxa" w:w="7128"/>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Identity &amp; Incentives, Decision Architecture, Communication, Information Ecology, Platform Structure, Governance Architecture, AI Amplification</w:t>
            </w:r>
          </w:p>
        </w:tc>
      </w:tr>
      <w:tr>
        <w:tc>
          <w:tcPr>
            <w:tcW w:type="dxa" w:w="7128"/>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review_cadence</w:t>
            </w:r>
          </w:p>
        </w:tc>
        <w:tc>
          <w:tcPr>
            <w:tcW w:type="dxa" w:w="7128"/>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Quarterly or event-driven</w:t>
            </w:r>
          </w:p>
        </w:tc>
      </w:tr>
      <w:tr>
        <w:tc>
          <w:tcPr>
            <w:tcW w:type="dxa" w:w="7128"/>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update_triggers</w:t>
            </w:r>
          </w:p>
        </w:tc>
        <w:tc>
          <w:tcPr>
            <w:tcW w:type="dxa" w:w="7128"/>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Org change, system migration, new AI workflow, control failure, stale evidence, owner departure</w:t>
            </w:r>
          </w:p>
        </w:tc>
      </w:tr>
      <w:tr>
        <w:tc>
          <w:tcPr>
            <w:tcW w:type="dxa" w:w="7128"/>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human_approval_required</w:t>
            </w:r>
          </w:p>
        </w:tc>
        <w:tc>
          <w:tcPr>
            <w:tcW w:type="dxa" w:w="7128"/>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Yes</w:t>
            </w:r>
          </w:p>
        </w:tc>
      </w:tr>
    </w:tbl>
    <w:p>
      <w:r>
        <w:br w:type="page"/>
      </w:r>
    </w:p>
    <w:p>
      <w:pPr>
        <w:pStyle w:val="LPMHeading2"/>
        <w:spacing w:after="100"/>
      </w:pPr>
      <w:r>
        <w:rPr>
          <w:rFonts w:ascii="Arial" w:hAnsi="Arial" w:eastAsia="Arial"/>
        </w:rPr>
        <w:t>Review cadence by company profile</w:t>
      </w:r>
    </w:p>
    <w:tbl>
      <w:tblPr>
        <w:tblW w:type="auto" w:w="0"/>
        <w:jc w:val="center"/>
        <w:tblLayout w:type="autofit"/>
        <w:tblLook w:firstColumn="1" w:firstRow="1" w:lastColumn="0" w:lastRow="0" w:noHBand="0" w:noVBand="1" w:val="04A0"/>
      </w:tblPr>
      <w:tblGrid>
        <w:gridCol w:w="4752"/>
        <w:gridCol w:w="4752"/>
        <w:gridCol w:w="4752"/>
      </w:tblGrid>
      <w:tr>
        <w:trPr>
          <w:tblHeader w:val="true"/>
        </w:trPr>
        <w:tc>
          <w:tcPr>
            <w:tcW w:type="dxa" w:w="475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5"/>
              </w:rPr>
              <w:t>Profile</w:t>
            </w:r>
          </w:p>
        </w:tc>
        <w:tc>
          <w:tcPr>
            <w:tcW w:type="dxa" w:w="475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5"/>
              </w:rPr>
              <w:t>Cadence</w:t>
            </w:r>
          </w:p>
        </w:tc>
        <w:tc>
          <w:tcPr>
            <w:tcW w:type="dxa" w:w="475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5"/>
              </w:rPr>
              <w:t>Main triggers</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500+</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Monthly gap review; quarterly owner registry refresh; pre-production AI ownership check.</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Ownerless AI workflow, founder escalation, stale knowledge source.</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5,000+</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Monthly cross-functional gap review; quarterly AI workflow and control review; semiannual domain map refresh.</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Unresolved dependency, conflicting system owner, stale evidence, unclear human review.</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10,000+</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Monthly exception review; quarterly global/regional control review; event-driven updates after org, regulatory, or platform change.</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5"/>
              </w:rPr>
              <w:t>Regional exception without owner, agent permission change, audit issue, policy conflict.</w:t>
            </w:r>
          </w:p>
        </w:tc>
      </w:tr>
    </w:tbl>
    <w:p>
      <w:r>
        <w:br w:type="page"/>
      </w:r>
    </w:p>
    <w:p>
      <w:pPr>
        <w:spacing w:after="60" w:before="80"/>
      </w:pPr>
      <w:r>
        <w:rPr>
          <w:rFonts w:ascii="Arial" w:hAnsi="Arial" w:eastAsia="Arial"/>
          <w:b/>
          <w:color w:val="556348"/>
          <w:sz w:val="16"/>
        </w:rPr>
        <w:t>WORKSHOP + GOVERNANCE</w:t>
      </w:r>
    </w:p>
    <w:p>
      <w:pPr>
        <w:pStyle w:val="LPMHeading1"/>
        <w:spacing w:after="160"/>
      </w:pPr>
      <w:r>
        <w:rPr>
          <w:rFonts w:ascii="Arial" w:hAnsi="Arial" w:eastAsia="Arial"/>
        </w:rPr>
        <w:t>45-minute workshop format</w:t>
      </w:r>
    </w:p>
    <w:tbl>
      <w:tblPr>
        <w:tblW w:type="auto" w:w="0"/>
        <w:jc w:val="center"/>
        <w:tblLayout w:type="autofit"/>
        <w:tblLook w:firstColumn="1" w:firstRow="1" w:lastColumn="0" w:lastRow="0" w:noHBand="0" w:noVBand="1" w:val="04A0"/>
      </w:tblPr>
      <w:tblGrid>
        <w:gridCol w:w="4752"/>
        <w:gridCol w:w="4752"/>
        <w:gridCol w:w="4752"/>
      </w:tblGrid>
      <w:tr>
        <w:trPr>
          <w:tblHeader w:val="true"/>
        </w:trPr>
        <w:tc>
          <w:tcPr>
            <w:tcW w:type="dxa" w:w="475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6"/>
              </w:rPr>
              <w:t>Time</w:t>
            </w:r>
          </w:p>
        </w:tc>
        <w:tc>
          <w:tcPr>
            <w:tcW w:type="dxa" w:w="475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6"/>
              </w:rPr>
              <w:t>Activity</w:t>
            </w:r>
          </w:p>
        </w:tc>
        <w:tc>
          <w:tcPr>
            <w:tcW w:type="dxa" w:w="4752"/>
            <w:shd w:fill="2D3924"/>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6"/>
              </w:rPr>
              <w:t>Output</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0-5 min</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Select one domain</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Pick a real AI-relevant workflow, not the whole company.</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5-15 min</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Name owners</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Outcome, decision, execution, information, platform, governance, AI.</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15-25 min</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Identify evidence</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Find the source of truth or mark it missing.</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25-35 min</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Score clarity</w:t>
            </w:r>
          </w:p>
        </w:tc>
        <w:tc>
          <w:tcPr>
            <w:tcW w:type="dxa" w:w="4752"/>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Use 0-3 scoring by field and domain.</w:t>
            </w:r>
          </w:p>
        </w:tc>
      </w:tr>
      <w:tr>
        <w:tc>
          <w:tcPr>
            <w:tcW w:type="dxa" w:w="4752"/>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35-45 min</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Commit actions</w:t>
            </w:r>
          </w:p>
        </w:tc>
        <w:tc>
          <w:tcPr>
            <w:tcW w:type="dxa" w:w="4752"/>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Assign owner, due date, and next review trigger.</w:t>
            </w:r>
          </w:p>
        </w:tc>
      </w:tr>
    </w:tbl>
    <w:p>
      <w:pPr>
        <w:pStyle w:val="LPMHeading2"/>
        <w:spacing w:after="100"/>
      </w:pPr>
      <w:r>
        <w:rPr>
          <w:rFonts w:ascii="Arial" w:hAnsi="Arial" w:eastAsia="Arial"/>
        </w:rPr>
        <w:t>Action log</w:t>
      </w:r>
    </w:p>
    <w:tbl>
      <w:tblPr>
        <w:tblW w:type="auto" w:w="0"/>
        <w:jc w:val="center"/>
        <w:tblLayout w:type="autofit"/>
        <w:tblLook w:firstColumn="1" w:firstRow="1" w:lastColumn="0" w:lastRow="0" w:noHBand="0" w:noVBand="1" w:val="04A0"/>
      </w:tblPr>
      <w:tblGrid>
        <w:gridCol w:w="2037"/>
        <w:gridCol w:w="2037"/>
        <w:gridCol w:w="2037"/>
        <w:gridCol w:w="2037"/>
        <w:gridCol w:w="2037"/>
        <w:gridCol w:w="2037"/>
        <w:gridCol w:w="2037"/>
      </w:tblGrid>
      <w:tr>
        <w:trPr>
          <w:tblHeader w:val="true"/>
        </w:trPr>
        <w:tc>
          <w:tcPr>
            <w:tcW w:type="dxa" w:w="2037"/>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4"/>
              </w:rPr>
              <w:t>Gap</w:t>
            </w:r>
          </w:p>
        </w:tc>
        <w:tc>
          <w:tcPr>
            <w:tcW w:type="dxa" w:w="2037"/>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4"/>
              </w:rPr>
              <w:t>Domain</w:t>
            </w:r>
          </w:p>
        </w:tc>
        <w:tc>
          <w:tcPr>
            <w:tcW w:type="dxa" w:w="2037"/>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4"/>
              </w:rPr>
              <w:t>Owner assigned</w:t>
            </w:r>
          </w:p>
        </w:tc>
        <w:tc>
          <w:tcPr>
            <w:tcW w:type="dxa" w:w="2037"/>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4"/>
              </w:rPr>
              <w:t>Action</w:t>
            </w:r>
          </w:p>
        </w:tc>
        <w:tc>
          <w:tcPr>
            <w:tcW w:type="dxa" w:w="2037"/>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4"/>
              </w:rPr>
              <w:t>Due date</w:t>
            </w:r>
          </w:p>
        </w:tc>
        <w:tc>
          <w:tcPr>
            <w:tcW w:type="dxa" w:w="2037"/>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4"/>
              </w:rPr>
              <w:t>Evidence to update</w:t>
            </w:r>
          </w:p>
        </w:tc>
        <w:tc>
          <w:tcPr>
            <w:tcW w:type="dxa" w:w="2037"/>
            <w:shd w:fill="182310"/>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4"/>
              </w:rPr>
              <w:t>Status</w:t>
            </w:r>
          </w:p>
        </w:tc>
      </w:tr>
      <w:tr>
        <w:tc>
          <w:tcPr>
            <w:tcW w:type="dxa" w:w="2037"/>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r>
      <w:tr>
        <w:tc>
          <w:tcPr>
            <w:tcW w:type="dxa" w:w="2037"/>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r>
      <w:tr>
        <w:tc>
          <w:tcPr>
            <w:tcW w:type="dxa" w:w="2037"/>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r>
      <w:tr>
        <w:tc>
          <w:tcPr>
            <w:tcW w:type="dxa" w:w="2037"/>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r>
      <w:tr>
        <w:tc>
          <w:tcPr>
            <w:tcW w:type="dxa" w:w="2037"/>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r>
      <w:tr>
        <w:tc>
          <w:tcPr>
            <w:tcW w:type="dxa" w:w="2037"/>
            <w:shd w:fill="F0EEE9"/>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c>
          <w:tcPr>
            <w:tcW w:type="dxa" w:w="2037"/>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4"/>
              </w:rPr>
            </w:r>
          </w:p>
        </w:tc>
      </w:tr>
    </w:tbl>
    <w:p>
      <w:pPr>
        <w:pStyle w:val="LPMHeading2"/>
        <w:spacing w:after="100"/>
      </w:pPr>
      <w:r>
        <w:rPr>
          <w:rFonts w:ascii="Arial" w:hAnsi="Arial" w:eastAsia="Arial"/>
        </w:rPr>
        <w:t>Version history</w:t>
      </w:r>
    </w:p>
    <w:tbl>
      <w:tblPr>
        <w:tblW w:type="auto" w:w="0"/>
        <w:jc w:val="center"/>
        <w:tblLayout w:type="autofit"/>
        <w:tblLook w:firstColumn="1" w:firstRow="1" w:lastColumn="0" w:lastRow="0" w:noHBand="0" w:noVBand="1" w:val="04A0"/>
      </w:tblPr>
      <w:tblGrid>
        <w:gridCol w:w="3564"/>
        <w:gridCol w:w="3564"/>
        <w:gridCol w:w="3564"/>
        <w:gridCol w:w="3564"/>
      </w:tblGrid>
      <w:tr>
        <w:trPr>
          <w:tblHeader w:val="true"/>
        </w:trPr>
        <w:tc>
          <w:tcPr>
            <w:tcW w:type="dxa" w:w="3564"/>
            <w:shd w:fill="556348"/>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6"/>
              </w:rPr>
              <w:t>Version</w:t>
            </w:r>
          </w:p>
        </w:tc>
        <w:tc>
          <w:tcPr>
            <w:tcW w:type="dxa" w:w="3564"/>
            <w:shd w:fill="556348"/>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6"/>
              </w:rPr>
              <w:t>Date</w:t>
            </w:r>
          </w:p>
        </w:tc>
        <w:tc>
          <w:tcPr>
            <w:tcW w:type="dxa" w:w="3564"/>
            <w:shd w:fill="556348"/>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6"/>
              </w:rPr>
              <w:t>Change</w:t>
            </w:r>
          </w:p>
        </w:tc>
        <w:tc>
          <w:tcPr>
            <w:tcW w:type="dxa" w:w="3564"/>
            <w:shd w:fill="556348"/>
            <w:tcBorders>
              <w:top w:val="single" w:sz="6" w:space="0" w:color="2D3924"/>
              <w:left w:val="single" w:sz="6" w:space="0" w:color="2D3924"/>
              <w:bottom w:val="single" w:sz="6" w:space="0" w:color="2D3924"/>
              <w:right w:val="single" w:sz="6" w:space="0" w:color="2D3924"/>
              <w:insideH w:val="single" w:sz="6" w:space="0" w:color="2D3924"/>
              <w:insideV w:val="single" w:sz="6" w:space="0" w:color="2D3924"/>
            </w:tcBorders>
            <w:tcMar>
              <w:top w:w="75" w:type="dxa"/>
              <w:start w:w="70" w:type="dxa"/>
              <w:bottom w:w="75" w:type="dxa"/>
              <w:end w:w="70" w:type="dxa"/>
            </w:tcMar>
            <w:vAlign w:val="center"/>
          </w:tcPr>
          <w:p>
            <w:pPr>
              <w:spacing w:after="0"/>
              <w:jc w:val="left"/>
            </w:pPr>
            <w:r>
              <w:rPr>
                <w:rFonts w:ascii="Arial" w:hAnsi="Arial" w:eastAsia="Arial"/>
                <w:b/>
                <w:color w:val="FFFFFF"/>
                <w:sz w:val="16"/>
              </w:rPr>
              <w:t>Approved by</w:t>
            </w:r>
          </w:p>
        </w:tc>
      </w:tr>
      <w:tr>
        <w:tc>
          <w:tcPr>
            <w:tcW w:type="dxa" w:w="3564"/>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v1.0</w:t>
            </w:r>
          </w:p>
        </w:tc>
        <w:tc>
          <w:tcPr>
            <w:tcW w:type="dxa" w:w="3564"/>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2026-06-23</w:t>
            </w:r>
          </w:p>
        </w:tc>
        <w:tc>
          <w:tcPr>
            <w:tcW w:type="dxa" w:w="3564"/>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Initial reusable Ownership Map template with three company-size versions.</w:t>
            </w:r>
          </w:p>
        </w:tc>
        <w:tc>
          <w:tcPr>
            <w:tcW w:type="dxa" w:w="3564"/>
            <w:shd w:fill="FFFFFF"/>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t>LPM</w:t>
            </w:r>
          </w:p>
        </w:tc>
      </w:tr>
      <w:tr>
        <w:tc>
          <w:tcPr>
            <w:tcW w:type="dxa" w:w="3564"/>
            <w:shd w:fill="D9E8C7"/>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r>
          </w:p>
        </w:tc>
        <w:tc>
          <w:tcPr>
            <w:tcW w:type="dxa" w:w="3564"/>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r>
          </w:p>
        </w:tc>
        <w:tc>
          <w:tcPr>
            <w:tcW w:type="dxa" w:w="3564"/>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r>
          </w:p>
        </w:tc>
        <w:tc>
          <w:tcPr>
            <w:tcW w:type="dxa" w:w="3564"/>
            <w:shd w:fill="F7F6F2"/>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Mar>
              <w:top w:w="65" w:type="dxa"/>
              <w:start w:w="60" w:type="dxa"/>
              <w:bottom w:w="65" w:type="dxa"/>
              <w:end w:w="60" w:type="dxa"/>
            </w:tcMar>
            <w:vAlign w:val="top"/>
          </w:tcPr>
          <w:p>
            <w:pPr>
              <w:spacing w:after="0"/>
            </w:pPr>
            <w:r>
              <w:rPr>
                <w:rFonts w:ascii="Arial" w:hAnsi="Arial" w:eastAsia="Arial"/>
                <w:b w:val="0"/>
                <w:color w:val="1B1C19"/>
                <w:sz w:val="16"/>
              </w:rPr>
            </w:r>
          </w:p>
        </w:tc>
      </w:tr>
    </w:tbl>
    <w:sectPr w:rsidR="00FC693F" w:rsidRPr="0006063C" w:rsidSect="00034616">
      <w:footerReference w:type="default" r:id="rId9"/>
      <w:pgSz w:w="15840" w:h="12240" w:orient="landscape"/>
      <w:pgMar w:top="792"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olor w:val="5E605A"/>
        <w:sz w:val="14"/>
      </w:rPr>
      <w:t>Large People Model / Lapemo - Reusable Ownership Map v1.0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PMHeading1">
    <w:name w:val="LPM Heading 1"/>
    <w:pPr>
      <w:spacing w:after="120"/>
    </w:pPr>
    <w:rPr>
      <w:rFonts w:ascii="Arial" w:hAnsi="Arial" w:eastAsia="Arial"/>
      <w:b/>
      <w:color w:val="2D3924"/>
      <w:sz w:val="44"/>
    </w:rPr>
  </w:style>
  <w:style w:type="paragraph" w:customStyle="1" w:styleId="LPMHeading2">
    <w:name w:val="LPM Heading 2"/>
    <w:pPr>
      <w:spacing w:after="80"/>
    </w:pPr>
    <w:rPr>
      <w:rFonts w:ascii="Arial" w:hAnsi="Arial" w:eastAsia="Arial"/>
      <w:b/>
      <w:color w:val="182310"/>
      <w:sz w:val="28"/>
    </w:rPr>
  </w:style>
  <w:style w:type="paragraph" w:customStyle="1" w:styleId="LPMBody">
    <w:name w:val="LPM Body"/>
    <w:pPr>
      <w:spacing w:line="252" w:lineRule="auto" w:after="100"/>
    </w:pPr>
    <w:rPr>
      <w:rFonts w:ascii="Arial" w:hAnsi="Arial" w:eastAsia="Arial"/>
      <w:color w:val="1B1C19"/>
      <w:sz w:val="18"/>
    </w:rPr>
  </w:style>
  <w:style w:type="paragraph" w:customStyle="1" w:styleId="LPMBullet">
    <w:name w:val="LPM Bullet"/>
    <w:pPr>
      <w:spacing w:line="240" w:lineRule="auto"/>
    </w:pPr>
    <w:rPr>
      <w:rFonts w:ascii="Arial" w:hAnsi="Arial" w:eastAsia="Arial"/>
      <w:color w:val="1B1C19"/>
      <w:sz w:val="18"/>
    </w:rPr>
  </w:style>
  <w:style w:type="paragraph" w:customStyle="1" w:styleId="LPMSmall">
    <w:name w:val="LPM Small"/>
    <w:rPr>
      <w:rFonts w:ascii="Arial" w:hAnsi="Arial" w:eastAsia="Arial"/>
      <w:color w:val="5E605A"/>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LPM Reusable Ownership Map</dc:title>
  <dc:subject>Ownership map templates for companies scaling AI</dc:subject>
  <dc:creator>Large People Model</dc:creator>
  <cp:keywords/>
  <dc:description>Created as a reusable LPM knowledge artifact.</dc:description>
  <cp:lastModifiedBy/>
  <cp:revision>1</cp:revision>
  <dcterms:created xsi:type="dcterms:W3CDTF">2013-12-23T23:15:00Z</dcterms:created>
  <dcterms:modified xsi:type="dcterms:W3CDTF">2013-12-23T23:15:00Z</dcterms:modified>
  <cp:category/>
</cp:coreProperties>
</file>