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2D3924"/>
          <w:sz w:val="60"/>
        </w:rPr>
        <w:t>Risk Acceptance Register</w:t>
      </w:r>
    </w:p>
    <w:p>
      <w:r>
        <w:rPr>
          <w:color w:val="5E605A"/>
          <w:sz w:val="24"/>
        </w:rPr>
        <w:t>Reusable LPM Knowledge Object for governance-layer risk acceptance, evidence, controls, ownership, and AI boundaries</w:t>
      </w:r>
    </w:p>
    <w:p/>
    <w:tbl>
      <w:tblPr>
        <w:tblW w:type="auto" w:w="0"/>
        <w:tblLook w:firstColumn="1" w:firstRow="1" w:lastColumn="0" w:lastRow="0" w:noHBand="0" w:noVBand="1" w:val="04A0"/>
      </w:tblPr>
      <w:tblGrid>
        <w:gridCol w:w="10656"/>
      </w:tblGrid>
      <w:tr>
        <w:tc>
          <w:tcPr>
            <w:tcW w:type="dxa" w:w="10656"/>
            <w:shd w:fill="D9E8C7"/>
          </w:tcPr>
          <w:p>
            <w:r>
              <w:rPr>
                <w:color w:val="1B1C19"/>
                <w:sz w:val="19"/>
              </w:rPr>
              <w:t>Use this Risk Acceptance Register to make accepted risk explicit, owned, evidence-backed, time-bound, and reviewable. The register prevents risk acceptance from becoming a vague meeting note, email approval, informal exception, or permanent workaround. It is designed for companies scaling AI where accepted risk must be tied to business outcomes, decision rights, controls, evidence, systems, data, AI boundaries, and review triggers.</w:t>
            </w:r>
          </w:p>
        </w:tc>
      </w:tr>
    </w:tbl>
    <w:p>
      <w:pPr>
        <w:spacing w:after="100"/>
      </w:pPr>
      <w:r>
        <w:rPr>
          <w:rFonts w:ascii="Aptos" w:hAnsi="Aptos"/>
          <w:color w:val="1B1C19"/>
          <w:sz w:val="17"/>
        </w:rPr>
        <w:t>Built for three company profiles: 500+ employees, 5,000+ employees, and 10,000+ employees. Use it as a website artifact, governance workshop guide, risk acceptance template, and future Lapemo guided skill.</w:t>
      </w:r>
    </w:p>
    <w:p>
      <w:pPr>
        <w:pStyle w:val="Heading1"/>
      </w:pPr>
      <w:r>
        <w:rPr>
          <w:rFonts w:ascii="Aptos Display" w:hAnsi="Aptos Display"/>
          <w:color w:val="2D3924"/>
        </w:rPr>
        <w:t>Metadata</w:t>
      </w:r>
    </w:p>
    <w:tbl>
      <w:tblPr>
        <w:tblStyle w:val="TableGrid"/>
        <w:tblW w:type="auto" w:w="0"/>
        <w:jc w:val="center"/>
        <w:tblLook w:firstColumn="1" w:firstRow="1" w:lastColumn="0" w:lastRow="0" w:noHBand="0" w:noVBand="1" w:val="04A0"/>
      </w:tblPr>
      <w:tblGrid>
        <w:gridCol w:w="5328"/>
        <w:gridCol w:w="5328"/>
      </w:tblGrid>
      <w:tr>
        <w:trPr>
          <w:cantSplit/>
        </w:trPr>
        <w:tc>
          <w:tcPr>
            <w:tcW w:type="dxa" w:w="1800"/>
            <w:vAlign w:val="top"/>
            <w:shd w:fill="2D3924"/>
          </w:tcPr>
          <w:p>
            <w:pPr>
              <w:spacing w:after="20" w:before="0" w:line="240" w:lineRule="auto"/>
            </w:pPr>
            <w:r>
              <w:rPr>
                <w:b/>
                <w:color w:val="FFFFFF"/>
                <w:sz w:val="15"/>
              </w:rPr>
              <w:t>Metadata</w:t>
            </w:r>
          </w:p>
        </w:tc>
        <w:tc>
          <w:tcPr>
            <w:tcW w:type="dxa" w:w="7200"/>
            <w:vAlign w:val="top"/>
            <w:shd w:fill="2D3924"/>
          </w:tcPr>
          <w:p>
            <w:pPr>
              <w:spacing w:after="20" w:before="0" w:line="240" w:lineRule="auto"/>
            </w:pPr>
            <w:r>
              <w:rPr>
                <w:b/>
                <w:color w:val="FFFFFF"/>
                <w:sz w:val="15"/>
              </w:rPr>
              <w:t>Value</w:t>
            </w:r>
          </w:p>
        </w:tc>
      </w:tr>
      <w:tr>
        <w:trPr>
          <w:cantSplit/>
        </w:trPr>
        <w:tc>
          <w:tcPr>
            <w:tcW w:type="dxa" w:w="1800"/>
            <w:vAlign w:val="top"/>
          </w:tcPr>
          <w:p>
            <w:pPr>
              <w:spacing w:after="20" w:before="0" w:line="240" w:lineRule="auto"/>
            </w:pPr>
            <w:r>
              <w:rPr>
                <w:color w:val="1B1C19"/>
                <w:sz w:val="14"/>
              </w:rPr>
              <w:t>Object type</w:t>
            </w:r>
          </w:p>
        </w:tc>
        <w:tc>
          <w:tcPr>
            <w:tcW w:type="dxa" w:w="7200"/>
            <w:vAlign w:val="top"/>
          </w:tcPr>
          <w:p>
            <w:pPr>
              <w:spacing w:after="20" w:before="0" w:line="240" w:lineRule="auto"/>
            </w:pPr>
            <w:r>
              <w:rPr>
                <w:color w:val="1B1C19"/>
                <w:sz w:val="14"/>
              </w:rPr>
              <w:t>LPM Knowledge Object</w:t>
            </w:r>
          </w:p>
        </w:tc>
      </w:tr>
      <w:tr>
        <w:trPr>
          <w:cantSplit/>
        </w:trPr>
        <w:tc>
          <w:tcPr>
            <w:tcW w:type="dxa" w:w="1800"/>
            <w:vAlign w:val="top"/>
            <w:shd w:fill="F0EEE9"/>
          </w:tcPr>
          <w:p>
            <w:pPr>
              <w:spacing w:after="20" w:before="0" w:line="240" w:lineRule="auto"/>
            </w:pPr>
            <w:r>
              <w:rPr>
                <w:color w:val="1B1C19"/>
                <w:sz w:val="14"/>
              </w:rPr>
              <w:t>Primary LPM layer</w:t>
            </w:r>
          </w:p>
        </w:tc>
        <w:tc>
          <w:tcPr>
            <w:tcW w:type="dxa" w:w="7200"/>
            <w:vAlign w:val="top"/>
            <w:shd w:fill="F0EEE9"/>
          </w:tcPr>
          <w:p>
            <w:pPr>
              <w:spacing w:after="20" w:before="0" w:line="240" w:lineRule="auto"/>
            </w:pPr>
            <w:r>
              <w:rPr>
                <w:color w:val="1B1C19"/>
                <w:sz w:val="14"/>
              </w:rPr>
              <w:t>Governance Architecture</w:t>
            </w:r>
          </w:p>
        </w:tc>
      </w:tr>
      <w:tr>
        <w:trPr>
          <w:cantSplit/>
        </w:trPr>
        <w:tc>
          <w:tcPr>
            <w:tcW w:type="dxa" w:w="1800"/>
            <w:vAlign w:val="top"/>
          </w:tcPr>
          <w:p>
            <w:pPr>
              <w:spacing w:after="20" w:before="0" w:line="240" w:lineRule="auto"/>
            </w:pPr>
            <w:r>
              <w:rPr>
                <w:color w:val="1B1C19"/>
                <w:sz w:val="14"/>
              </w:rPr>
              <w:t>Connected layers</w:t>
            </w:r>
          </w:p>
        </w:tc>
        <w:tc>
          <w:tcPr>
            <w:tcW w:type="dxa" w:w="7200"/>
            <w:vAlign w:val="top"/>
          </w:tcPr>
          <w:p>
            <w:pPr>
              <w:spacing w:after="20" w:before="0" w:line="240" w:lineRule="auto"/>
            </w:pPr>
            <w:r>
              <w:rPr>
                <w:color w:val="1B1C19"/>
                <w:sz w:val="14"/>
              </w:rPr>
              <w:t>Ownership Map, Decision Architecture, Information Ecology, Platform Structure, Control Map, AI Amplification</w:t>
            </w:r>
          </w:p>
        </w:tc>
      </w:tr>
      <w:tr>
        <w:trPr>
          <w:cantSplit/>
        </w:trPr>
        <w:tc>
          <w:tcPr>
            <w:tcW w:type="dxa" w:w="1800"/>
            <w:vAlign w:val="top"/>
            <w:shd w:fill="F0EEE9"/>
          </w:tcPr>
          <w:p>
            <w:pPr>
              <w:spacing w:after="20" w:before="0" w:line="240" w:lineRule="auto"/>
            </w:pPr>
            <w:r>
              <w:rPr>
                <w:color w:val="1B1C19"/>
                <w:sz w:val="14"/>
              </w:rPr>
              <w:t>Primary use</w:t>
            </w:r>
          </w:p>
        </w:tc>
        <w:tc>
          <w:tcPr>
            <w:tcW w:type="dxa" w:w="7200"/>
            <w:vAlign w:val="top"/>
            <w:shd w:fill="F0EEE9"/>
          </w:tcPr>
          <w:p>
            <w:pPr>
              <w:spacing w:after="20" w:before="0" w:line="240" w:lineRule="auto"/>
            </w:pPr>
            <w:r>
              <w:rPr>
                <w:color w:val="1B1C19"/>
                <w:sz w:val="14"/>
              </w:rPr>
              <w:t>Document accepted risks with accountable ownership, rationale, evidence, controls, expiration dates, review triggers, and escalation paths.</w:t>
            </w:r>
          </w:p>
        </w:tc>
      </w:tr>
      <w:tr>
        <w:trPr>
          <w:cantSplit/>
        </w:trPr>
        <w:tc>
          <w:tcPr>
            <w:tcW w:type="dxa" w:w="1800"/>
            <w:vAlign w:val="top"/>
          </w:tcPr>
          <w:p>
            <w:pPr>
              <w:spacing w:after="20" w:before="0" w:line="240" w:lineRule="auto"/>
            </w:pPr>
            <w:r>
              <w:rPr>
                <w:color w:val="1B1C19"/>
                <w:sz w:val="14"/>
              </w:rPr>
              <w:t>Website use</w:t>
            </w:r>
          </w:p>
        </w:tc>
        <w:tc>
          <w:tcPr>
            <w:tcW w:type="dxa" w:w="7200"/>
            <w:vAlign w:val="top"/>
          </w:tcPr>
          <w:p>
            <w:pPr>
              <w:spacing w:after="20" w:before="0" w:line="240" w:lineRule="auto"/>
            </w:pPr>
            <w:r>
              <w:rPr>
                <w:color w:val="1B1C19"/>
                <w:sz w:val="14"/>
              </w:rPr>
              <w:t>Downloadable governance template, AI readiness resource, risk workshop guide, JSON object for Lapemo ingestion, and future guided skill.</w:t>
            </w:r>
          </w:p>
        </w:tc>
      </w:tr>
      <w:tr>
        <w:trPr>
          <w:cantSplit/>
        </w:trPr>
        <w:tc>
          <w:tcPr>
            <w:tcW w:type="dxa" w:w="1800"/>
            <w:vAlign w:val="top"/>
            <w:shd w:fill="F0EEE9"/>
          </w:tcPr>
          <w:p>
            <w:pPr>
              <w:spacing w:after="20" w:before="0" w:line="240" w:lineRule="auto"/>
            </w:pPr>
            <w:r>
              <w:rPr>
                <w:color w:val="1B1C19"/>
                <w:sz w:val="14"/>
              </w:rPr>
              <w:t>Version</w:t>
            </w:r>
          </w:p>
        </w:tc>
        <w:tc>
          <w:tcPr>
            <w:tcW w:type="dxa" w:w="7200"/>
            <w:vAlign w:val="top"/>
            <w:shd w:fill="F0EEE9"/>
          </w:tcPr>
          <w:p>
            <w:pPr>
              <w:spacing w:after="20" w:before="0" w:line="240" w:lineRule="auto"/>
            </w:pPr>
            <w:r>
              <w:rPr>
                <w:color w:val="1B1C19"/>
                <w:sz w:val="14"/>
              </w:rPr>
              <w:t>1.0</w:t>
            </w:r>
          </w:p>
        </w:tc>
      </w:tr>
      <w:tr>
        <w:trPr>
          <w:cantSplit/>
        </w:trPr>
        <w:tc>
          <w:tcPr>
            <w:tcW w:type="dxa" w:w="1800"/>
            <w:vAlign w:val="top"/>
          </w:tcPr>
          <w:p>
            <w:pPr>
              <w:spacing w:after="20" w:before="0" w:line="240" w:lineRule="auto"/>
            </w:pPr>
            <w:r>
              <w:rPr>
                <w:color w:val="1B1C19"/>
                <w:sz w:val="14"/>
              </w:rPr>
              <w:t>Owner</w:t>
            </w:r>
          </w:p>
        </w:tc>
        <w:tc>
          <w:tcPr>
            <w:tcW w:type="dxa" w:w="7200"/>
            <w:vAlign w:val="top"/>
          </w:tcPr>
          <w:p>
            <w:pPr>
              <w:spacing w:after="20" w:before="0" w:line="240" w:lineRule="auto"/>
            </w:pPr>
            <w:r>
              <w:rPr>
                <w:color w:val="1B1C19"/>
                <w:sz w:val="14"/>
              </w:rPr>
              <w:t>LPM / Lapemo</w:t>
            </w:r>
          </w:p>
        </w:tc>
      </w:tr>
      <w:tr>
        <w:trPr>
          <w:cantSplit/>
        </w:trPr>
        <w:tc>
          <w:tcPr>
            <w:tcW w:type="dxa" w:w="1800"/>
            <w:vAlign w:val="top"/>
            <w:shd w:fill="F0EEE9"/>
          </w:tcPr>
          <w:p>
            <w:pPr>
              <w:spacing w:after="20" w:before="0" w:line="240" w:lineRule="auto"/>
            </w:pPr>
            <w:r>
              <w:rPr>
                <w:color w:val="1B1C19"/>
                <w:sz w:val="14"/>
              </w:rPr>
              <w:t>Last reviewed</w:t>
            </w:r>
          </w:p>
        </w:tc>
        <w:tc>
          <w:tcPr>
            <w:tcW w:type="dxa" w:w="7200"/>
            <w:vAlign w:val="top"/>
            <w:shd w:fill="F0EEE9"/>
          </w:tcPr>
          <w:p>
            <w:pPr>
              <w:spacing w:after="20" w:before="0" w:line="240" w:lineRule="auto"/>
            </w:pPr>
            <w:r>
              <w:rPr>
                <w:color w:val="1B1C19"/>
                <w:sz w:val="14"/>
              </w:rPr>
              <w:t>2026-06-24</w:t>
            </w:r>
          </w:p>
        </w:tc>
      </w:tr>
    </w:tbl>
    <w:p/>
    <w:p>
      <w:pPr>
        <w:pStyle w:val="Heading1"/>
      </w:pPr>
      <w:r>
        <w:rPr>
          <w:rFonts w:ascii="Aptos Display" w:hAnsi="Aptos Display"/>
          <w:color w:val="2D3924"/>
        </w:rPr>
        <w:t>Core principles</w:t>
      </w:r>
    </w:p>
    <w:tbl>
      <w:tblPr>
        <w:tblStyle w:val="TableGrid"/>
        <w:tblW w:type="auto" w:w="0"/>
        <w:jc w:val="center"/>
        <w:tblLook w:firstColumn="1" w:firstRow="1" w:lastColumn="0" w:lastRow="0" w:noHBand="0" w:noVBand="1" w:val="04A0"/>
      </w:tblPr>
      <w:tblGrid>
        <w:gridCol w:w="5328"/>
        <w:gridCol w:w="5328"/>
      </w:tblGrid>
      <w:tr>
        <w:trPr>
          <w:cantSplit/>
        </w:trPr>
        <w:tc>
          <w:tcPr>
            <w:tcW w:type="dxa" w:w="2300"/>
            <w:vAlign w:val="top"/>
            <w:shd w:fill="2D3924"/>
          </w:tcPr>
          <w:p>
            <w:pPr>
              <w:spacing w:after="20" w:before="0" w:line="240" w:lineRule="auto"/>
            </w:pPr>
            <w:r>
              <w:rPr>
                <w:b/>
                <w:color w:val="FFFFFF"/>
                <w:sz w:val="15"/>
              </w:rPr>
              <w:t>Principle</w:t>
            </w:r>
          </w:p>
        </w:tc>
        <w:tc>
          <w:tcPr>
            <w:tcW w:type="dxa" w:w="6700"/>
            <w:vAlign w:val="top"/>
            <w:shd w:fill="2D3924"/>
          </w:tcPr>
          <w:p>
            <w:pPr>
              <w:spacing w:after="20" w:before="0" w:line="240" w:lineRule="auto"/>
            </w:pPr>
            <w:r>
              <w:rPr>
                <w:b/>
                <w:color w:val="FFFFFF"/>
                <w:sz w:val="15"/>
              </w:rPr>
              <w:t>Meaning</w:t>
            </w:r>
          </w:p>
        </w:tc>
      </w:tr>
      <w:tr>
        <w:trPr>
          <w:cantSplit/>
        </w:trPr>
        <w:tc>
          <w:tcPr>
            <w:tcW w:type="dxa" w:w="2300"/>
            <w:vAlign w:val="top"/>
          </w:tcPr>
          <w:p>
            <w:pPr>
              <w:spacing w:after="20" w:before="0" w:line="240" w:lineRule="auto"/>
            </w:pPr>
            <w:r>
              <w:rPr>
                <w:color w:val="1B1C19"/>
                <w:sz w:val="14"/>
              </w:rPr>
              <w:t>Accepted risk must be explicit</w:t>
            </w:r>
          </w:p>
        </w:tc>
        <w:tc>
          <w:tcPr>
            <w:tcW w:type="dxa" w:w="6700"/>
            <w:vAlign w:val="top"/>
          </w:tcPr>
          <w:p>
            <w:pPr>
              <w:spacing w:after="20" w:before="0" w:line="240" w:lineRule="auto"/>
            </w:pPr>
            <w:r>
              <w:rPr>
                <w:color w:val="1B1C19"/>
                <w:sz w:val="14"/>
              </w:rPr>
              <w:t>A risk is not accepted because nobody fixed it. It is accepted only when a defined authority documents the rationale, owner, evidence, expiration, and review rule.</w:t>
            </w:r>
          </w:p>
        </w:tc>
      </w:tr>
      <w:tr>
        <w:trPr>
          <w:cantSplit/>
        </w:trPr>
        <w:tc>
          <w:tcPr>
            <w:tcW w:type="dxa" w:w="2300"/>
            <w:vAlign w:val="top"/>
            <w:shd w:fill="F0EEE9"/>
          </w:tcPr>
          <w:p>
            <w:pPr>
              <w:spacing w:after="20" w:before="0" w:line="240" w:lineRule="auto"/>
            </w:pPr>
            <w:r>
              <w:rPr>
                <w:color w:val="1B1C19"/>
                <w:sz w:val="14"/>
              </w:rPr>
              <w:t>Risk acceptance is not risk deletion</w:t>
            </w:r>
          </w:p>
        </w:tc>
        <w:tc>
          <w:tcPr>
            <w:tcW w:type="dxa" w:w="6700"/>
            <w:vAlign w:val="top"/>
            <w:shd w:fill="F0EEE9"/>
          </w:tcPr>
          <w:p>
            <w:pPr>
              <w:spacing w:after="20" w:before="0" w:line="240" w:lineRule="auto"/>
            </w:pPr>
            <w:r>
              <w:rPr>
                <w:color w:val="1B1C19"/>
                <w:sz w:val="14"/>
              </w:rPr>
              <w:t>Accepted risk remains visible until it is mitigated, transferred, retired, escalated, superseded, or formally renewed.</w:t>
            </w:r>
          </w:p>
        </w:tc>
      </w:tr>
      <w:tr>
        <w:trPr>
          <w:cantSplit/>
        </w:trPr>
        <w:tc>
          <w:tcPr>
            <w:tcW w:type="dxa" w:w="2300"/>
            <w:vAlign w:val="top"/>
          </w:tcPr>
          <w:p>
            <w:pPr>
              <w:spacing w:after="20" w:before="0" w:line="240" w:lineRule="auto"/>
            </w:pPr>
            <w:r>
              <w:rPr>
                <w:color w:val="1B1C19"/>
                <w:sz w:val="14"/>
              </w:rPr>
              <w:t>Ownership must be singular</w:t>
            </w:r>
          </w:p>
        </w:tc>
        <w:tc>
          <w:tcPr>
            <w:tcW w:type="dxa" w:w="6700"/>
            <w:vAlign w:val="top"/>
          </w:tcPr>
          <w:p>
            <w:pPr>
              <w:spacing w:after="20" w:before="0" w:line="240" w:lineRule="auto"/>
            </w:pPr>
            <w:r>
              <w:rPr>
                <w:color w:val="1B1C19"/>
                <w:sz w:val="14"/>
              </w:rPr>
              <w:t>Each accepted risk needs one accountable business or executive owner, even when several teams support mitigation.</w:t>
            </w:r>
          </w:p>
        </w:tc>
      </w:tr>
      <w:tr>
        <w:trPr>
          <w:cantSplit/>
        </w:trPr>
        <w:tc>
          <w:tcPr>
            <w:tcW w:type="dxa" w:w="2300"/>
            <w:vAlign w:val="top"/>
            <w:shd w:fill="F0EEE9"/>
          </w:tcPr>
          <w:p>
            <w:pPr>
              <w:spacing w:after="20" w:before="0" w:line="240" w:lineRule="auto"/>
            </w:pPr>
            <w:r>
              <w:rPr>
                <w:color w:val="1B1C19"/>
                <w:sz w:val="14"/>
              </w:rPr>
              <w:t>Evidence must support the decision</w:t>
            </w:r>
          </w:p>
        </w:tc>
        <w:tc>
          <w:tcPr>
            <w:tcW w:type="dxa" w:w="6700"/>
            <w:vAlign w:val="top"/>
            <w:shd w:fill="F0EEE9"/>
          </w:tcPr>
          <w:p>
            <w:pPr>
              <w:spacing w:after="20" w:before="0" w:line="240" w:lineRule="auto"/>
            </w:pPr>
            <w:r>
              <w:rPr>
                <w:color w:val="1B1C19"/>
                <w:sz w:val="14"/>
              </w:rPr>
              <w:t>The acceptance rationale must include evidence, alternatives considered, residual risk, control coverage, and known tradeoffs.</w:t>
            </w:r>
          </w:p>
        </w:tc>
      </w:tr>
      <w:tr>
        <w:trPr>
          <w:cantSplit/>
        </w:trPr>
        <w:tc>
          <w:tcPr>
            <w:tcW w:type="dxa" w:w="2300"/>
            <w:vAlign w:val="top"/>
          </w:tcPr>
          <w:p>
            <w:pPr>
              <w:spacing w:after="20" w:before="0" w:line="240" w:lineRule="auto"/>
            </w:pPr>
            <w:r>
              <w:rPr>
                <w:color w:val="1B1C19"/>
                <w:sz w:val="14"/>
              </w:rPr>
              <w:t>Time limits protect the enterprise</w:t>
            </w:r>
          </w:p>
        </w:tc>
        <w:tc>
          <w:tcPr>
            <w:tcW w:type="dxa" w:w="6700"/>
            <w:vAlign w:val="top"/>
          </w:tcPr>
          <w:p>
            <w:pPr>
              <w:spacing w:after="20" w:before="0" w:line="240" w:lineRule="auto"/>
            </w:pPr>
            <w:r>
              <w:rPr>
                <w:color w:val="1B1C19"/>
                <w:sz w:val="14"/>
              </w:rPr>
              <w:t>Every accepted risk needs an expiration date, renewal rule, review cadence, and trigger conditions.</w:t>
            </w:r>
          </w:p>
        </w:tc>
      </w:tr>
      <w:tr>
        <w:trPr>
          <w:cantSplit/>
        </w:trPr>
        <w:tc>
          <w:tcPr>
            <w:tcW w:type="dxa" w:w="2300"/>
            <w:vAlign w:val="top"/>
            <w:shd w:fill="F0EEE9"/>
          </w:tcPr>
          <w:p>
            <w:pPr>
              <w:spacing w:after="20" w:before="0" w:line="240" w:lineRule="auto"/>
            </w:pPr>
            <w:r>
              <w:rPr>
                <w:color w:val="1B1C19"/>
                <w:sz w:val="14"/>
              </w:rPr>
              <w:t>AI raises the bar</w:t>
            </w:r>
          </w:p>
        </w:tc>
        <w:tc>
          <w:tcPr>
            <w:tcW w:type="dxa" w:w="6700"/>
            <w:vAlign w:val="top"/>
            <w:shd w:fill="F0EEE9"/>
          </w:tcPr>
          <w:p>
            <w:pPr>
              <w:spacing w:after="20" w:before="0" w:line="240" w:lineRule="auto"/>
            </w:pPr>
            <w:r>
              <w:rPr>
                <w:color w:val="1B1C19"/>
                <w:sz w:val="14"/>
              </w:rPr>
              <w:t>AI-related risk acceptance must define allowed actions, blocked actions, human review, audit logs, retrieval limits, model or agent boundaries, and kill-switch ownership.</w:t>
            </w:r>
          </w:p>
        </w:tc>
      </w:tr>
      <w:tr>
        <w:trPr>
          <w:cantSplit/>
        </w:trPr>
        <w:tc>
          <w:tcPr>
            <w:tcW w:type="dxa" w:w="2300"/>
            <w:vAlign w:val="top"/>
          </w:tcPr>
          <w:p>
            <w:pPr>
              <w:spacing w:after="20" w:before="0" w:line="240" w:lineRule="auto"/>
            </w:pPr>
            <w:r>
              <w:rPr>
                <w:color w:val="1B1C19"/>
                <w:sz w:val="14"/>
              </w:rPr>
              <w:t>Exceptions must not become shadow policy</w:t>
            </w:r>
          </w:p>
        </w:tc>
        <w:tc>
          <w:tcPr>
            <w:tcW w:type="dxa" w:w="6700"/>
            <w:vAlign w:val="top"/>
          </w:tcPr>
          <w:p>
            <w:pPr>
              <w:spacing w:after="20" w:before="0" w:line="240" w:lineRule="auto"/>
            </w:pPr>
            <w:r>
              <w:rPr>
                <w:color w:val="1B1C19"/>
                <w:sz w:val="14"/>
              </w:rPr>
              <w:t>Repeated acceptance of the same risk should trigger control redesign, process redesign, funding decision, or executive governance review.</w:t>
            </w:r>
          </w:p>
        </w:tc>
      </w:tr>
    </w:tbl>
    <w:p/>
    <w:p>
      <w:pPr>
        <w:pStyle w:val="Heading1"/>
      </w:pPr>
      <w:r>
        <w:rPr>
          <w:rFonts w:ascii="Aptos Display" w:hAnsi="Aptos Display"/>
          <w:color w:val="2D3924"/>
        </w:rPr>
        <w:t>Required fields</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1900"/>
            <w:vAlign w:val="top"/>
            <w:shd w:fill="2D3924"/>
          </w:tcPr>
          <w:p>
            <w:pPr>
              <w:spacing w:after="20" w:before="0" w:line="240" w:lineRule="auto"/>
            </w:pPr>
            <w:r>
              <w:rPr>
                <w:b/>
                <w:color w:val="FFFFFF"/>
                <w:sz w:val="15"/>
              </w:rPr>
              <w:t>Field</w:t>
            </w:r>
          </w:p>
        </w:tc>
        <w:tc>
          <w:tcPr>
            <w:tcW w:type="dxa" w:w="6000"/>
            <w:vAlign w:val="top"/>
            <w:shd w:fill="2D3924"/>
          </w:tcPr>
          <w:p>
            <w:pPr>
              <w:spacing w:after="20" w:before="0" w:line="240" w:lineRule="auto"/>
            </w:pPr>
            <w:r>
              <w:rPr>
                <w:b/>
                <w:color w:val="FFFFFF"/>
                <w:sz w:val="15"/>
              </w:rPr>
              <w:t>Definition</w:t>
            </w:r>
          </w:p>
        </w:tc>
        <w:tc>
          <w:tcPr>
            <w:tcW w:type="dxa" w:w="1400"/>
            <w:vAlign w:val="top"/>
            <w:shd w:fill="2D3924"/>
          </w:tcPr>
          <w:p>
            <w:pPr>
              <w:spacing w:after="20" w:before="0" w:line="240" w:lineRule="auto"/>
            </w:pPr>
            <w:r>
              <w:rPr>
                <w:b/>
                <w:color w:val="FFFFFF"/>
                <w:sz w:val="15"/>
              </w:rPr>
              <w:t>Required</w:t>
            </w:r>
          </w:p>
        </w:tc>
      </w:tr>
      <w:tr>
        <w:trPr>
          <w:cantSplit/>
        </w:trPr>
        <w:tc>
          <w:tcPr>
            <w:tcW w:type="dxa" w:w="1900"/>
            <w:vAlign w:val="top"/>
          </w:tcPr>
          <w:p>
            <w:pPr>
              <w:spacing w:after="20" w:before="0" w:line="240" w:lineRule="auto"/>
            </w:pPr>
            <w:r>
              <w:rPr>
                <w:color w:val="1B1C19"/>
                <w:sz w:val="14"/>
              </w:rPr>
              <w:t>Risk ID</w:t>
            </w:r>
          </w:p>
        </w:tc>
        <w:tc>
          <w:tcPr>
            <w:tcW w:type="dxa" w:w="6000"/>
            <w:vAlign w:val="top"/>
          </w:tcPr>
          <w:p>
            <w:pPr>
              <w:spacing w:after="20" w:before="0" w:line="240" w:lineRule="auto"/>
            </w:pPr>
            <w:r>
              <w:rPr>
                <w:color w:val="1B1C19"/>
                <w:sz w:val="14"/>
              </w:rPr>
              <w:t>Unique identifier for the accepted risk, exception, control gap, AI boundary issue, or governance decision</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Risk name</w:t>
            </w:r>
          </w:p>
        </w:tc>
        <w:tc>
          <w:tcPr>
            <w:tcW w:type="dxa" w:w="6000"/>
            <w:vAlign w:val="top"/>
            <w:shd w:fill="F0EEE9"/>
          </w:tcPr>
          <w:p>
            <w:pPr>
              <w:spacing w:after="20" w:before="0" w:line="240" w:lineRule="auto"/>
            </w:pPr>
            <w:r>
              <w:rPr>
                <w:color w:val="1B1C19"/>
                <w:sz w:val="14"/>
              </w:rPr>
              <w:t>Plain-language name of the risk being accepted</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Risk statement</w:t>
            </w:r>
          </w:p>
        </w:tc>
        <w:tc>
          <w:tcPr>
            <w:tcW w:type="dxa" w:w="6000"/>
            <w:vAlign w:val="top"/>
          </w:tcPr>
          <w:p>
            <w:pPr>
              <w:spacing w:after="20" w:before="0" w:line="240" w:lineRule="auto"/>
            </w:pPr>
            <w:r>
              <w:rPr>
                <w:color w:val="1B1C19"/>
                <w:sz w:val="14"/>
              </w:rPr>
              <w:t>Specific condition, cause, and potential impact being accepted</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Business context</w:t>
            </w:r>
          </w:p>
        </w:tc>
        <w:tc>
          <w:tcPr>
            <w:tcW w:type="dxa" w:w="6000"/>
            <w:vAlign w:val="top"/>
            <w:shd w:fill="F0EEE9"/>
          </w:tcPr>
          <w:p>
            <w:pPr>
              <w:spacing w:after="20" w:before="0" w:line="240" w:lineRule="auto"/>
            </w:pPr>
            <w:r>
              <w:rPr>
                <w:color w:val="1B1C19"/>
                <w:sz w:val="14"/>
              </w:rPr>
              <w:t>Why the risk exists now, what objective or delivery need is affected, and why acceptance is being requested</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Impacted objective</w:t>
            </w:r>
          </w:p>
        </w:tc>
        <w:tc>
          <w:tcPr>
            <w:tcW w:type="dxa" w:w="6000"/>
            <w:vAlign w:val="top"/>
          </w:tcPr>
          <w:p>
            <w:pPr>
              <w:spacing w:after="20" w:before="0" w:line="240" w:lineRule="auto"/>
            </w:pPr>
            <w:r>
              <w:rPr>
                <w:color w:val="1B1C19"/>
                <w:sz w:val="14"/>
              </w:rPr>
              <w:t>Outcome, initiative, customer journey, compliance obligation, AI use case, workflow, system, or operating-model goal affected by the risk</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LPM layer affected</w:t>
            </w:r>
          </w:p>
        </w:tc>
        <w:tc>
          <w:tcPr>
            <w:tcW w:type="dxa" w:w="6000"/>
            <w:vAlign w:val="top"/>
            <w:shd w:fill="F0EEE9"/>
          </w:tcPr>
          <w:p>
            <w:pPr>
              <w:spacing w:after="20" w:before="0" w:line="240" w:lineRule="auto"/>
            </w:pPr>
            <w:r>
              <w:rPr>
                <w:color w:val="1B1C19"/>
                <w:sz w:val="14"/>
              </w:rPr>
              <w:t>Ownership, Decision Architecture, Communication Architecture, Information Ecology, Platform Structure, Governance Architecture, AI Amplification</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Risk category</w:t>
            </w:r>
          </w:p>
        </w:tc>
        <w:tc>
          <w:tcPr>
            <w:tcW w:type="dxa" w:w="6000"/>
            <w:vAlign w:val="top"/>
          </w:tcPr>
          <w:p>
            <w:pPr>
              <w:spacing w:after="20" w:before="0" w:line="240" w:lineRule="auto"/>
            </w:pPr>
            <w:r>
              <w:rPr>
                <w:color w:val="1B1C19"/>
                <w:sz w:val="14"/>
              </w:rPr>
              <w:t>Operational, strategic, financial, compliance, regulatory, security, privacy, vendor, data, AI/model, reputational, transformation, or control risk</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Inherent risk rating</w:t>
            </w:r>
          </w:p>
        </w:tc>
        <w:tc>
          <w:tcPr>
            <w:tcW w:type="dxa" w:w="6000"/>
            <w:vAlign w:val="top"/>
            <w:shd w:fill="F0EEE9"/>
          </w:tcPr>
          <w:p>
            <w:pPr>
              <w:spacing w:after="20" w:before="0" w:line="240" w:lineRule="auto"/>
            </w:pPr>
            <w:r>
              <w:rPr>
                <w:color w:val="1B1C19"/>
                <w:sz w:val="14"/>
              </w:rPr>
              <w:t>Risk level before mitigation or controls</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Residual risk rating</w:t>
            </w:r>
          </w:p>
        </w:tc>
        <w:tc>
          <w:tcPr>
            <w:tcW w:type="dxa" w:w="6000"/>
            <w:vAlign w:val="top"/>
          </w:tcPr>
          <w:p>
            <w:pPr>
              <w:spacing w:after="20" w:before="0" w:line="240" w:lineRule="auto"/>
            </w:pPr>
            <w:r>
              <w:rPr>
                <w:color w:val="1B1C19"/>
                <w:sz w:val="14"/>
              </w:rPr>
              <w:t>Risk level after existing controls, mitigations, and boundaries</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Acceptance rationale</w:t>
            </w:r>
          </w:p>
        </w:tc>
        <w:tc>
          <w:tcPr>
            <w:tcW w:type="dxa" w:w="6000"/>
            <w:vAlign w:val="top"/>
            <w:shd w:fill="F0EEE9"/>
          </w:tcPr>
          <w:p>
            <w:pPr>
              <w:spacing w:after="20" w:before="0" w:line="240" w:lineRule="auto"/>
            </w:pPr>
            <w:r>
              <w:rPr>
                <w:color w:val="1B1C19"/>
                <w:sz w:val="14"/>
              </w:rPr>
              <w:t>Why the residual risk is acceptable for a limited period</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Alternatives considered</w:t>
            </w:r>
          </w:p>
        </w:tc>
        <w:tc>
          <w:tcPr>
            <w:tcW w:type="dxa" w:w="6000"/>
            <w:vAlign w:val="top"/>
          </w:tcPr>
          <w:p>
            <w:pPr>
              <w:spacing w:after="20" w:before="0" w:line="240" w:lineRule="auto"/>
            </w:pPr>
            <w:r>
              <w:rPr>
                <w:color w:val="1B1C19"/>
                <w:sz w:val="14"/>
              </w:rPr>
              <w:t>Mitigate now, defer, transfer, avoid, redesign, automate, escalate, stop work, or accept temporarily</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Accountable risk owner</w:t>
            </w:r>
          </w:p>
        </w:tc>
        <w:tc>
          <w:tcPr>
            <w:tcW w:type="dxa" w:w="6000"/>
            <w:vAlign w:val="top"/>
            <w:shd w:fill="F0EEE9"/>
          </w:tcPr>
          <w:p>
            <w:pPr>
              <w:spacing w:after="20" w:before="0" w:line="240" w:lineRule="auto"/>
            </w:pPr>
            <w:r>
              <w:rPr>
                <w:color w:val="1B1C19"/>
                <w:sz w:val="14"/>
              </w:rPr>
              <w:t>Person or role accountable for the accepted risk and its outcomes</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Approval authority</w:t>
            </w:r>
          </w:p>
        </w:tc>
        <w:tc>
          <w:tcPr>
            <w:tcW w:type="dxa" w:w="6000"/>
            <w:vAlign w:val="top"/>
          </w:tcPr>
          <w:p>
            <w:pPr>
              <w:spacing w:after="20" w:before="0" w:line="240" w:lineRule="auto"/>
            </w:pPr>
            <w:r>
              <w:rPr>
                <w:color w:val="1B1C19"/>
                <w:sz w:val="14"/>
              </w:rPr>
              <w:t>Role, forum, committee, executive, or governance body authorized to accept this risk</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Control owner</w:t>
            </w:r>
          </w:p>
        </w:tc>
        <w:tc>
          <w:tcPr>
            <w:tcW w:type="dxa" w:w="6000"/>
            <w:vAlign w:val="top"/>
            <w:shd w:fill="F0EEE9"/>
          </w:tcPr>
          <w:p>
            <w:pPr>
              <w:spacing w:after="20" w:before="0" w:line="240" w:lineRule="auto"/>
            </w:pPr>
            <w:r>
              <w:rPr>
                <w:color w:val="1B1C19"/>
                <w:sz w:val="14"/>
              </w:rPr>
              <w:t>Owner of the control, mitigation, evidence, monitoring, or compensating control</w:t>
            </w:r>
          </w:p>
        </w:tc>
        <w:tc>
          <w:tcPr>
            <w:tcW w:type="dxa" w:w="1400"/>
            <w:vAlign w:val="top"/>
            <w:shd w:fill="F0EEE9"/>
          </w:tcPr>
          <w:p>
            <w:pPr>
              <w:spacing w:after="20" w:before="0" w:line="240" w:lineRule="auto"/>
            </w:pPr>
            <w:r>
              <w:rPr>
                <w:color w:val="1B1C19"/>
                <w:sz w:val="14"/>
              </w:rPr>
              <w:t>Required when controls exist</w:t>
            </w:r>
          </w:p>
        </w:tc>
      </w:tr>
      <w:tr>
        <w:trPr>
          <w:cantSplit/>
        </w:trPr>
        <w:tc>
          <w:tcPr>
            <w:tcW w:type="dxa" w:w="1900"/>
            <w:vAlign w:val="top"/>
          </w:tcPr>
          <w:p>
            <w:pPr>
              <w:spacing w:after="20" w:before="0" w:line="240" w:lineRule="auto"/>
            </w:pPr>
            <w:r>
              <w:rPr>
                <w:color w:val="1B1C19"/>
                <w:sz w:val="14"/>
              </w:rPr>
              <w:t>Evidence package</w:t>
            </w:r>
          </w:p>
        </w:tc>
        <w:tc>
          <w:tcPr>
            <w:tcW w:type="dxa" w:w="6000"/>
            <w:vAlign w:val="top"/>
          </w:tcPr>
          <w:p>
            <w:pPr>
              <w:spacing w:after="20" w:before="0" w:line="240" w:lineRule="auto"/>
            </w:pPr>
            <w:r>
              <w:rPr>
                <w:color w:val="1B1C19"/>
                <w:sz w:val="14"/>
              </w:rPr>
              <w:t>Evidence used to justify acceptance, including source, freshness, confidence, and owner</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Controls and mitigations</w:t>
            </w:r>
          </w:p>
        </w:tc>
        <w:tc>
          <w:tcPr>
            <w:tcW w:type="dxa" w:w="6000"/>
            <w:vAlign w:val="top"/>
            <w:shd w:fill="F0EEE9"/>
          </w:tcPr>
          <w:p>
            <w:pPr>
              <w:spacing w:after="20" w:before="0" w:line="240" w:lineRule="auto"/>
            </w:pPr>
            <w:r>
              <w:rPr>
                <w:color w:val="1B1C19"/>
                <w:sz w:val="14"/>
              </w:rPr>
              <w:t>Existing controls, temporary controls, compensating controls, monitoring, or operating boundaries</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AI involvement</w:t>
            </w:r>
          </w:p>
        </w:tc>
        <w:tc>
          <w:tcPr>
            <w:tcW w:type="dxa" w:w="6000"/>
            <w:vAlign w:val="top"/>
          </w:tcPr>
          <w:p>
            <w:pPr>
              <w:spacing w:after="20" w:before="0" w:line="240" w:lineRule="auto"/>
            </w:pPr>
            <w:r>
              <w:rPr>
                <w:color w:val="1B1C19"/>
                <w:sz w:val="14"/>
              </w:rPr>
              <w:t>Whether AI retrieves, recommends, drafts, decides, updates, triggers, monitors, communicates, or creates evidence related to the risk</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AI allowed actions</w:t>
            </w:r>
          </w:p>
        </w:tc>
        <w:tc>
          <w:tcPr>
            <w:tcW w:type="dxa" w:w="6000"/>
            <w:vAlign w:val="top"/>
            <w:shd w:fill="F0EEE9"/>
          </w:tcPr>
          <w:p>
            <w:pPr>
              <w:spacing w:after="20" w:before="0" w:line="240" w:lineRule="auto"/>
            </w:pPr>
            <w:r>
              <w:rPr>
                <w:color w:val="1B1C19"/>
                <w:sz w:val="14"/>
              </w:rPr>
              <w:t>What AI is permitted to do while the risk is accepted</w:t>
            </w:r>
          </w:p>
        </w:tc>
        <w:tc>
          <w:tcPr>
            <w:tcW w:type="dxa" w:w="1400"/>
            <w:vAlign w:val="top"/>
            <w:shd w:fill="F0EEE9"/>
          </w:tcPr>
          <w:p>
            <w:pPr>
              <w:spacing w:after="20" w:before="0" w:line="240" w:lineRule="auto"/>
            </w:pPr>
            <w:r>
              <w:rPr>
                <w:color w:val="1B1C19"/>
                <w:sz w:val="14"/>
              </w:rPr>
              <w:t>Required when AI is involved</w:t>
            </w:r>
          </w:p>
        </w:tc>
      </w:tr>
      <w:tr>
        <w:trPr>
          <w:cantSplit/>
        </w:trPr>
        <w:tc>
          <w:tcPr>
            <w:tcW w:type="dxa" w:w="1900"/>
            <w:vAlign w:val="top"/>
          </w:tcPr>
          <w:p>
            <w:pPr>
              <w:spacing w:after="20" w:before="0" w:line="240" w:lineRule="auto"/>
            </w:pPr>
            <w:r>
              <w:rPr>
                <w:color w:val="1B1C19"/>
                <w:sz w:val="14"/>
              </w:rPr>
              <w:t>AI blocked actions</w:t>
            </w:r>
          </w:p>
        </w:tc>
        <w:tc>
          <w:tcPr>
            <w:tcW w:type="dxa" w:w="6000"/>
            <w:vAlign w:val="top"/>
          </w:tcPr>
          <w:p>
            <w:pPr>
              <w:spacing w:after="20" w:before="0" w:line="240" w:lineRule="auto"/>
            </w:pPr>
            <w:r>
              <w:rPr>
                <w:color w:val="1B1C19"/>
                <w:sz w:val="14"/>
              </w:rPr>
              <w:t>What AI is not permitted to do without human approval or governance review</w:t>
            </w:r>
          </w:p>
        </w:tc>
        <w:tc>
          <w:tcPr>
            <w:tcW w:type="dxa" w:w="1400"/>
            <w:vAlign w:val="top"/>
          </w:tcPr>
          <w:p>
            <w:pPr>
              <w:spacing w:after="20" w:before="0" w:line="240" w:lineRule="auto"/>
            </w:pPr>
            <w:r>
              <w:rPr>
                <w:color w:val="1B1C19"/>
                <w:sz w:val="14"/>
              </w:rPr>
              <w:t>Required when AI is involved</w:t>
            </w:r>
          </w:p>
        </w:tc>
      </w:tr>
      <w:tr>
        <w:trPr>
          <w:cantSplit/>
        </w:trPr>
        <w:tc>
          <w:tcPr>
            <w:tcW w:type="dxa" w:w="1900"/>
            <w:vAlign w:val="top"/>
            <w:shd w:fill="F0EEE9"/>
          </w:tcPr>
          <w:p>
            <w:pPr>
              <w:spacing w:after="20" w:before="0" w:line="240" w:lineRule="auto"/>
            </w:pPr>
            <w:r>
              <w:rPr>
                <w:color w:val="1B1C19"/>
                <w:sz w:val="14"/>
              </w:rPr>
              <w:t>Human review rule</w:t>
            </w:r>
          </w:p>
        </w:tc>
        <w:tc>
          <w:tcPr>
            <w:tcW w:type="dxa" w:w="6000"/>
            <w:vAlign w:val="top"/>
            <w:shd w:fill="F0EEE9"/>
          </w:tcPr>
          <w:p>
            <w:pPr>
              <w:spacing w:after="20" w:before="0" w:line="240" w:lineRule="auto"/>
            </w:pPr>
            <w:r>
              <w:rPr>
                <w:color w:val="1B1C19"/>
                <w:sz w:val="14"/>
              </w:rPr>
              <w:t>Human approval, validation, override, escalation, or audit required before action</w:t>
            </w:r>
          </w:p>
        </w:tc>
        <w:tc>
          <w:tcPr>
            <w:tcW w:type="dxa" w:w="1400"/>
            <w:vAlign w:val="top"/>
            <w:shd w:fill="F0EEE9"/>
          </w:tcPr>
          <w:p>
            <w:pPr>
              <w:spacing w:after="20" w:before="0" w:line="240" w:lineRule="auto"/>
            </w:pPr>
            <w:r>
              <w:rPr>
                <w:color w:val="1B1C19"/>
                <w:sz w:val="14"/>
              </w:rPr>
              <w:t>Required when AI, control, or high risk is involved</w:t>
            </w:r>
          </w:p>
        </w:tc>
      </w:tr>
      <w:tr>
        <w:trPr>
          <w:cantSplit/>
        </w:trPr>
        <w:tc>
          <w:tcPr>
            <w:tcW w:type="dxa" w:w="1900"/>
            <w:vAlign w:val="top"/>
          </w:tcPr>
          <w:p>
            <w:pPr>
              <w:spacing w:after="20" w:before="0" w:line="240" w:lineRule="auto"/>
            </w:pPr>
            <w:r>
              <w:rPr>
                <w:color w:val="1B1C19"/>
                <w:sz w:val="14"/>
              </w:rPr>
              <w:t>Expiration date</w:t>
            </w:r>
          </w:p>
        </w:tc>
        <w:tc>
          <w:tcPr>
            <w:tcW w:type="dxa" w:w="6000"/>
            <w:vAlign w:val="top"/>
          </w:tcPr>
          <w:p>
            <w:pPr>
              <w:spacing w:after="20" w:before="0" w:line="240" w:lineRule="auto"/>
            </w:pPr>
            <w:r>
              <w:rPr>
                <w:color w:val="1B1C19"/>
                <w:sz w:val="14"/>
              </w:rPr>
              <w:t>Date when acceptance expires and must be closed, renewed, escalated, or redesigned</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Review cadence</w:t>
            </w:r>
          </w:p>
        </w:tc>
        <w:tc>
          <w:tcPr>
            <w:tcW w:type="dxa" w:w="6000"/>
            <w:vAlign w:val="top"/>
            <w:shd w:fill="F0EEE9"/>
          </w:tcPr>
          <w:p>
            <w:pPr>
              <w:spacing w:after="20" w:before="0" w:line="240" w:lineRule="auto"/>
            </w:pPr>
            <w:r>
              <w:rPr>
                <w:color w:val="1B1C19"/>
                <w:sz w:val="14"/>
              </w:rPr>
              <w:t>Weekly, monthly, quarterly, release-based, incident-based, milestone-based, or governance-cycle review</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Trigger conditions</w:t>
            </w:r>
          </w:p>
        </w:tc>
        <w:tc>
          <w:tcPr>
            <w:tcW w:type="dxa" w:w="6000"/>
            <w:vAlign w:val="top"/>
          </w:tcPr>
          <w:p>
            <w:pPr>
              <w:spacing w:after="20" w:before="0" w:line="240" w:lineRule="auto"/>
            </w:pPr>
            <w:r>
              <w:rPr>
                <w:color w:val="1B1C19"/>
                <w:sz w:val="14"/>
              </w:rPr>
              <w:t>Events that force earlier review, escalation, closure, renewal, or stop-work</w:t>
            </w:r>
          </w:p>
        </w:tc>
        <w:tc>
          <w:tcPr>
            <w:tcW w:type="dxa" w:w="1400"/>
            <w:vAlign w:val="top"/>
          </w:tcPr>
          <w:p>
            <w:pPr>
              <w:spacing w:after="20" w:before="0" w:line="240" w:lineRule="auto"/>
            </w:pPr>
            <w:r>
              <w:rPr>
                <w:color w:val="1B1C19"/>
                <w:sz w:val="14"/>
              </w:rPr>
              <w:t>Yes</w:t>
            </w:r>
          </w:p>
        </w:tc>
      </w:tr>
      <w:tr>
        <w:trPr>
          <w:cantSplit/>
        </w:trPr>
        <w:tc>
          <w:tcPr>
            <w:tcW w:type="dxa" w:w="1900"/>
            <w:vAlign w:val="top"/>
            <w:shd w:fill="F0EEE9"/>
          </w:tcPr>
          <w:p>
            <w:pPr>
              <w:spacing w:after="20" w:before="0" w:line="240" w:lineRule="auto"/>
            </w:pPr>
            <w:r>
              <w:rPr>
                <w:color w:val="1B1C19"/>
                <w:sz w:val="14"/>
              </w:rPr>
              <w:t>Escalation path</w:t>
            </w:r>
          </w:p>
        </w:tc>
        <w:tc>
          <w:tcPr>
            <w:tcW w:type="dxa" w:w="6000"/>
            <w:vAlign w:val="top"/>
            <w:shd w:fill="F0EEE9"/>
          </w:tcPr>
          <w:p>
            <w:pPr>
              <w:spacing w:after="20" w:before="0" w:line="240" w:lineRule="auto"/>
            </w:pPr>
            <w:r>
              <w:rPr>
                <w:color w:val="1B1C19"/>
                <w:sz w:val="14"/>
              </w:rPr>
              <w:t>Where the risk goes if exposure increases, evidence weakens, controls fail, or expiration is missed</w:t>
            </w:r>
          </w:p>
        </w:tc>
        <w:tc>
          <w:tcPr>
            <w:tcW w:type="dxa" w:w="1400"/>
            <w:vAlign w:val="top"/>
            <w:shd w:fill="F0EEE9"/>
          </w:tcPr>
          <w:p>
            <w:pPr>
              <w:spacing w:after="20" w:before="0" w:line="240" w:lineRule="auto"/>
            </w:pPr>
            <w:r>
              <w:rPr>
                <w:color w:val="1B1C19"/>
                <w:sz w:val="14"/>
              </w:rPr>
              <w:t>Yes</w:t>
            </w:r>
          </w:p>
        </w:tc>
      </w:tr>
      <w:tr>
        <w:trPr>
          <w:cantSplit/>
        </w:trPr>
        <w:tc>
          <w:tcPr>
            <w:tcW w:type="dxa" w:w="1900"/>
            <w:vAlign w:val="top"/>
          </w:tcPr>
          <w:p>
            <w:pPr>
              <w:spacing w:after="20" w:before="0" w:line="240" w:lineRule="auto"/>
            </w:pPr>
            <w:r>
              <w:rPr>
                <w:color w:val="1B1C19"/>
                <w:sz w:val="14"/>
              </w:rPr>
              <w:t>Status</w:t>
            </w:r>
          </w:p>
        </w:tc>
        <w:tc>
          <w:tcPr>
            <w:tcW w:type="dxa" w:w="6000"/>
            <w:vAlign w:val="top"/>
          </w:tcPr>
          <w:p>
            <w:pPr>
              <w:spacing w:after="20" w:before="0" w:line="240" w:lineRule="auto"/>
            </w:pPr>
            <w:r>
              <w:rPr>
                <w:color w:val="1B1C19"/>
                <w:sz w:val="14"/>
              </w:rPr>
              <w:t>Draft, pending approval, accepted, active monitoring, expired, escalated, remediated, superseded, rejected, or retired</w:t>
            </w:r>
          </w:p>
        </w:tc>
        <w:tc>
          <w:tcPr>
            <w:tcW w:type="dxa" w:w="1400"/>
            <w:vAlign w:val="top"/>
          </w:tcPr>
          <w:p>
            <w:pPr>
              <w:spacing w:after="20" w:before="0" w:line="240" w:lineRule="auto"/>
            </w:pPr>
            <w:r>
              <w:rPr>
                <w:color w:val="1B1C19"/>
                <w:sz w:val="14"/>
              </w:rPr>
              <w:t>Yes</w:t>
            </w:r>
          </w:p>
        </w:tc>
      </w:tr>
    </w:tbl>
    <w:p/>
    <w:p>
      <w:pPr>
        <w:pStyle w:val="Heading1"/>
      </w:pPr>
      <w:r>
        <w:rPr>
          <w:rFonts w:ascii="Aptos Display" w:hAnsi="Aptos Display"/>
          <w:color w:val="2D3924"/>
        </w:rPr>
        <w:t>Risk categories</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100"/>
            <w:vAlign w:val="top"/>
            <w:shd w:fill="2D3924"/>
          </w:tcPr>
          <w:p>
            <w:pPr>
              <w:spacing w:after="20" w:before="0" w:line="240" w:lineRule="auto"/>
            </w:pPr>
            <w:r>
              <w:rPr>
                <w:b/>
                <w:color w:val="FFFFFF"/>
                <w:sz w:val="15"/>
              </w:rPr>
              <w:t>Category</w:t>
            </w:r>
          </w:p>
        </w:tc>
        <w:tc>
          <w:tcPr>
            <w:tcW w:type="dxa" w:w="3300"/>
            <w:vAlign w:val="top"/>
            <w:shd w:fill="2D3924"/>
          </w:tcPr>
          <w:p>
            <w:pPr>
              <w:spacing w:after="20" w:before="0" w:line="240" w:lineRule="auto"/>
            </w:pPr>
            <w:r>
              <w:rPr>
                <w:b/>
                <w:color w:val="FFFFFF"/>
                <w:sz w:val="15"/>
              </w:rPr>
              <w:t>Purpose</w:t>
            </w:r>
          </w:p>
        </w:tc>
        <w:tc>
          <w:tcPr>
            <w:tcW w:type="dxa" w:w="3600"/>
            <w:vAlign w:val="top"/>
            <w:shd w:fill="2D3924"/>
          </w:tcPr>
          <w:p>
            <w:pPr>
              <w:spacing w:after="20" w:before="0" w:line="240" w:lineRule="auto"/>
            </w:pPr>
            <w:r>
              <w:rPr>
                <w:b/>
                <w:color w:val="FFFFFF"/>
                <w:sz w:val="15"/>
              </w:rPr>
              <w:t>Examples</w:t>
            </w:r>
          </w:p>
        </w:tc>
      </w:tr>
      <w:tr>
        <w:trPr>
          <w:cantSplit/>
        </w:trPr>
        <w:tc>
          <w:tcPr>
            <w:tcW w:type="dxa" w:w="2100"/>
            <w:vAlign w:val="top"/>
          </w:tcPr>
          <w:p>
            <w:pPr>
              <w:spacing w:after="20" w:before="0" w:line="240" w:lineRule="auto"/>
            </w:pPr>
            <w:r>
              <w:rPr>
                <w:color w:val="1B1C19"/>
                <w:sz w:val="14"/>
              </w:rPr>
              <w:t>Operational risk</w:t>
            </w:r>
          </w:p>
        </w:tc>
        <w:tc>
          <w:tcPr>
            <w:tcW w:type="dxa" w:w="3300"/>
            <w:vAlign w:val="top"/>
          </w:tcPr>
          <w:p>
            <w:pPr>
              <w:spacing w:after="20" w:before="0" w:line="240" w:lineRule="auto"/>
            </w:pPr>
            <w:r>
              <w:rPr>
                <w:color w:val="1B1C19"/>
                <w:sz w:val="14"/>
              </w:rPr>
              <w:t>Risk that work, handoffs, roles, controls, service quality, or execution reliability fail</w:t>
            </w:r>
          </w:p>
        </w:tc>
        <w:tc>
          <w:tcPr>
            <w:tcW w:type="dxa" w:w="3600"/>
            <w:vAlign w:val="top"/>
          </w:tcPr>
          <w:p>
            <w:pPr>
              <w:spacing w:after="20" w:before="0" w:line="240" w:lineRule="auto"/>
            </w:pPr>
            <w:r>
              <w:rPr>
                <w:color w:val="1B1C19"/>
                <w:sz w:val="14"/>
              </w:rPr>
              <w:t>Unowned workflow, weak handoff, manual control dependency, capacity gap</w:t>
            </w:r>
          </w:p>
        </w:tc>
      </w:tr>
      <w:tr>
        <w:trPr>
          <w:cantSplit/>
        </w:trPr>
        <w:tc>
          <w:tcPr>
            <w:tcW w:type="dxa" w:w="2100"/>
            <w:vAlign w:val="top"/>
            <w:shd w:fill="F0EEE9"/>
          </w:tcPr>
          <w:p>
            <w:pPr>
              <w:spacing w:after="20" w:before="0" w:line="240" w:lineRule="auto"/>
            </w:pPr>
            <w:r>
              <w:rPr>
                <w:color w:val="1B1C19"/>
                <w:sz w:val="14"/>
              </w:rPr>
              <w:t>Decision risk</w:t>
            </w:r>
          </w:p>
        </w:tc>
        <w:tc>
          <w:tcPr>
            <w:tcW w:type="dxa" w:w="3300"/>
            <w:vAlign w:val="top"/>
            <w:shd w:fill="F0EEE9"/>
          </w:tcPr>
          <w:p>
            <w:pPr>
              <w:spacing w:after="20" w:before="0" w:line="240" w:lineRule="auto"/>
            </w:pPr>
            <w:r>
              <w:rPr>
                <w:color w:val="1B1C19"/>
                <w:sz w:val="14"/>
              </w:rPr>
              <w:t>Risk that authority, evidence, or decision path is unclear or too slow</w:t>
            </w:r>
          </w:p>
        </w:tc>
        <w:tc>
          <w:tcPr>
            <w:tcW w:type="dxa" w:w="3600"/>
            <w:vAlign w:val="top"/>
            <w:shd w:fill="F0EEE9"/>
          </w:tcPr>
          <w:p>
            <w:pPr>
              <w:spacing w:after="20" w:before="0" w:line="240" w:lineRule="auto"/>
            </w:pPr>
            <w:r>
              <w:rPr>
                <w:color w:val="1B1C19"/>
                <w:sz w:val="14"/>
              </w:rPr>
              <w:t>No decision owner, conflicting approval route, weak evidence, decision debt</w:t>
            </w:r>
          </w:p>
        </w:tc>
      </w:tr>
      <w:tr>
        <w:trPr>
          <w:cantSplit/>
        </w:trPr>
        <w:tc>
          <w:tcPr>
            <w:tcW w:type="dxa" w:w="2100"/>
            <w:vAlign w:val="top"/>
          </w:tcPr>
          <w:p>
            <w:pPr>
              <w:spacing w:after="20" w:before="0" w:line="240" w:lineRule="auto"/>
            </w:pPr>
            <w:r>
              <w:rPr>
                <w:color w:val="1B1C19"/>
                <w:sz w:val="14"/>
              </w:rPr>
              <w:t>Data and information risk</w:t>
            </w:r>
          </w:p>
        </w:tc>
        <w:tc>
          <w:tcPr>
            <w:tcW w:type="dxa" w:w="3300"/>
            <w:vAlign w:val="top"/>
          </w:tcPr>
          <w:p>
            <w:pPr>
              <w:spacing w:after="20" w:before="0" w:line="240" w:lineRule="auto"/>
            </w:pPr>
            <w:r>
              <w:rPr>
                <w:color w:val="1B1C19"/>
                <w:sz w:val="14"/>
              </w:rPr>
              <w:t>Risk that data, dashboards, knowledge objects, or evidence are inaccurate, stale, incomplete, or uncontrolled</w:t>
            </w:r>
          </w:p>
        </w:tc>
        <w:tc>
          <w:tcPr>
            <w:tcW w:type="dxa" w:w="3600"/>
            <w:vAlign w:val="top"/>
          </w:tcPr>
          <w:p>
            <w:pPr>
              <w:spacing w:after="20" w:before="0" w:line="240" w:lineRule="auto"/>
            </w:pPr>
            <w:r>
              <w:rPr>
                <w:color w:val="1B1C19"/>
                <w:sz w:val="14"/>
              </w:rPr>
              <w:t>Stale source, unclear data owner, conflicting dashboards, weak lineage</w:t>
            </w:r>
          </w:p>
        </w:tc>
      </w:tr>
      <w:tr>
        <w:trPr>
          <w:cantSplit/>
        </w:trPr>
        <w:tc>
          <w:tcPr>
            <w:tcW w:type="dxa" w:w="2100"/>
            <w:vAlign w:val="top"/>
            <w:shd w:fill="F0EEE9"/>
          </w:tcPr>
          <w:p>
            <w:pPr>
              <w:spacing w:after="20" w:before="0" w:line="240" w:lineRule="auto"/>
            </w:pPr>
            <w:r>
              <w:rPr>
                <w:color w:val="1B1C19"/>
                <w:sz w:val="14"/>
              </w:rPr>
              <w:t>Platform and integration risk</w:t>
            </w:r>
          </w:p>
        </w:tc>
        <w:tc>
          <w:tcPr>
            <w:tcW w:type="dxa" w:w="3300"/>
            <w:vAlign w:val="top"/>
            <w:shd w:fill="F0EEE9"/>
          </w:tcPr>
          <w:p>
            <w:pPr>
              <w:spacing w:after="20" w:before="0" w:line="240" w:lineRule="auto"/>
            </w:pPr>
            <w:r>
              <w:rPr>
                <w:color w:val="1B1C19"/>
                <w:sz w:val="14"/>
              </w:rPr>
              <w:t>Risk tied to tools, systems, APIs, automations, vendor platforms, or system dependencies</w:t>
            </w:r>
          </w:p>
        </w:tc>
        <w:tc>
          <w:tcPr>
            <w:tcW w:type="dxa" w:w="3600"/>
            <w:vAlign w:val="top"/>
            <w:shd w:fill="F0EEE9"/>
          </w:tcPr>
          <w:p>
            <w:pPr>
              <w:spacing w:after="20" w:before="0" w:line="240" w:lineRule="auto"/>
            </w:pPr>
            <w:r>
              <w:rPr>
                <w:color w:val="1B1C19"/>
                <w:sz w:val="14"/>
              </w:rPr>
              <w:t>Unsupported integration, duplicate tool, brittle automation, vendor dependency</w:t>
            </w:r>
          </w:p>
        </w:tc>
      </w:tr>
      <w:tr>
        <w:trPr>
          <w:cantSplit/>
        </w:trPr>
        <w:tc>
          <w:tcPr>
            <w:tcW w:type="dxa" w:w="2100"/>
            <w:vAlign w:val="top"/>
          </w:tcPr>
          <w:p>
            <w:pPr>
              <w:spacing w:after="20" w:before="0" w:line="240" w:lineRule="auto"/>
            </w:pPr>
            <w:r>
              <w:rPr>
                <w:color w:val="1B1C19"/>
                <w:sz w:val="14"/>
              </w:rPr>
              <w:t>AI and model risk</w:t>
            </w:r>
          </w:p>
        </w:tc>
        <w:tc>
          <w:tcPr>
            <w:tcW w:type="dxa" w:w="3300"/>
            <w:vAlign w:val="top"/>
          </w:tcPr>
          <w:p>
            <w:pPr>
              <w:spacing w:after="20" w:before="0" w:line="240" w:lineRule="auto"/>
            </w:pPr>
            <w:r>
              <w:rPr>
                <w:color w:val="1B1C19"/>
                <w:sz w:val="14"/>
              </w:rPr>
              <w:t>Risk that AI outputs, agents, prompts, retrieval, actions, or model behavior create harm or unauthorized decisions</w:t>
            </w:r>
          </w:p>
        </w:tc>
        <w:tc>
          <w:tcPr>
            <w:tcW w:type="dxa" w:w="3600"/>
            <w:vAlign w:val="top"/>
          </w:tcPr>
          <w:p>
            <w:pPr>
              <w:spacing w:after="20" w:before="0" w:line="240" w:lineRule="auto"/>
            </w:pPr>
            <w:r>
              <w:rPr>
                <w:color w:val="1B1C19"/>
                <w:sz w:val="14"/>
              </w:rPr>
              <w:t>Agent action without owner, weak review, unknown training source, hallucinated evidence</w:t>
            </w:r>
          </w:p>
        </w:tc>
      </w:tr>
      <w:tr>
        <w:trPr>
          <w:cantSplit/>
        </w:trPr>
        <w:tc>
          <w:tcPr>
            <w:tcW w:type="dxa" w:w="2100"/>
            <w:vAlign w:val="top"/>
            <w:shd w:fill="F0EEE9"/>
          </w:tcPr>
          <w:p>
            <w:pPr>
              <w:spacing w:after="20" w:before="0" w:line="240" w:lineRule="auto"/>
            </w:pPr>
            <w:r>
              <w:rPr>
                <w:color w:val="1B1C19"/>
                <w:sz w:val="14"/>
              </w:rPr>
              <w:t>Control and compliance risk</w:t>
            </w:r>
          </w:p>
        </w:tc>
        <w:tc>
          <w:tcPr>
            <w:tcW w:type="dxa" w:w="3300"/>
            <w:vAlign w:val="top"/>
            <w:shd w:fill="F0EEE9"/>
          </w:tcPr>
          <w:p>
            <w:pPr>
              <w:spacing w:after="20" w:before="0" w:line="240" w:lineRule="auto"/>
            </w:pPr>
            <w:r>
              <w:rPr>
                <w:color w:val="1B1C19"/>
                <w:sz w:val="14"/>
              </w:rPr>
              <w:t>Risk that a control, policy, regulatory obligation, or audit requirement is missing, stale, bypassed, or ineffective</w:t>
            </w:r>
          </w:p>
        </w:tc>
        <w:tc>
          <w:tcPr>
            <w:tcW w:type="dxa" w:w="3600"/>
            <w:vAlign w:val="top"/>
            <w:shd w:fill="F0EEE9"/>
          </w:tcPr>
          <w:p>
            <w:pPr>
              <w:spacing w:after="20" w:before="0" w:line="240" w:lineRule="auto"/>
            </w:pPr>
            <w:r>
              <w:rPr>
                <w:color w:val="1B1C19"/>
                <w:sz w:val="14"/>
              </w:rPr>
              <w:t>Expired control evidence, policy exception, unresolved audit issue, missing approval</w:t>
            </w:r>
          </w:p>
        </w:tc>
      </w:tr>
      <w:tr>
        <w:trPr>
          <w:cantSplit/>
        </w:trPr>
        <w:tc>
          <w:tcPr>
            <w:tcW w:type="dxa" w:w="2100"/>
            <w:vAlign w:val="top"/>
          </w:tcPr>
          <w:p>
            <w:pPr>
              <w:spacing w:after="20" w:before="0" w:line="240" w:lineRule="auto"/>
            </w:pPr>
            <w:r>
              <w:rPr>
                <w:color w:val="1B1C19"/>
                <w:sz w:val="14"/>
              </w:rPr>
              <w:t>Security and privacy risk</w:t>
            </w:r>
          </w:p>
        </w:tc>
        <w:tc>
          <w:tcPr>
            <w:tcW w:type="dxa" w:w="3300"/>
            <w:vAlign w:val="top"/>
          </w:tcPr>
          <w:p>
            <w:pPr>
              <w:spacing w:after="20" w:before="0" w:line="240" w:lineRule="auto"/>
            </w:pPr>
            <w:r>
              <w:rPr>
                <w:color w:val="1B1C19"/>
                <w:sz w:val="14"/>
              </w:rPr>
              <w:t>Risk that access, sensitive data, identity, confidentiality, or privacy expectations are breached</w:t>
            </w:r>
          </w:p>
        </w:tc>
        <w:tc>
          <w:tcPr>
            <w:tcW w:type="dxa" w:w="3600"/>
            <w:vAlign w:val="top"/>
          </w:tcPr>
          <w:p>
            <w:pPr>
              <w:spacing w:after="20" w:before="0" w:line="240" w:lineRule="auto"/>
            </w:pPr>
            <w:r>
              <w:rPr>
                <w:color w:val="1B1C19"/>
                <w:sz w:val="14"/>
              </w:rPr>
              <w:t>Over-permissioned agent, exposed data, weak access control, privacy exception</w:t>
            </w:r>
          </w:p>
        </w:tc>
      </w:tr>
      <w:tr>
        <w:trPr>
          <w:cantSplit/>
        </w:trPr>
        <w:tc>
          <w:tcPr>
            <w:tcW w:type="dxa" w:w="2100"/>
            <w:vAlign w:val="top"/>
            <w:shd w:fill="F0EEE9"/>
          </w:tcPr>
          <w:p>
            <w:pPr>
              <w:spacing w:after="20" w:before="0" w:line="240" w:lineRule="auto"/>
            </w:pPr>
            <w:r>
              <w:rPr>
                <w:color w:val="1B1C19"/>
                <w:sz w:val="14"/>
              </w:rPr>
              <w:t>Financial and reputational risk</w:t>
            </w:r>
          </w:p>
        </w:tc>
        <w:tc>
          <w:tcPr>
            <w:tcW w:type="dxa" w:w="3300"/>
            <w:vAlign w:val="top"/>
            <w:shd w:fill="F0EEE9"/>
          </w:tcPr>
          <w:p>
            <w:pPr>
              <w:spacing w:after="20" w:before="0" w:line="240" w:lineRule="auto"/>
            </w:pPr>
            <w:r>
              <w:rPr>
                <w:color w:val="1B1C19"/>
                <w:sz w:val="14"/>
              </w:rPr>
              <w:t>Risk that accepted exposure creates financial loss, customer harm, brand damage, or executive accountability exposure</w:t>
            </w:r>
          </w:p>
        </w:tc>
        <w:tc>
          <w:tcPr>
            <w:tcW w:type="dxa" w:w="3600"/>
            <w:vAlign w:val="top"/>
            <w:shd w:fill="F0EEE9"/>
          </w:tcPr>
          <w:p>
            <w:pPr>
              <w:spacing w:after="20" w:before="0" w:line="240" w:lineRule="auto"/>
            </w:pPr>
            <w:r>
              <w:rPr>
                <w:color w:val="1B1C19"/>
                <w:sz w:val="14"/>
              </w:rPr>
              <w:t>Known customer defect, budget overrun, SLA miss, public trust exposure</w:t>
            </w:r>
          </w:p>
        </w:tc>
      </w:tr>
    </w:tbl>
    <w:p/>
    <w:p>
      <w:pPr>
        <w:pStyle w:val="Heading1"/>
      </w:pPr>
      <w:r>
        <w:rPr>
          <w:rFonts w:ascii="Aptos Display" w:hAnsi="Aptos Display"/>
          <w:color w:val="2D3924"/>
        </w:rPr>
        <w:t>Register template</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300"/>
            <w:vAlign w:val="top"/>
            <w:shd w:fill="2D3924"/>
          </w:tcPr>
          <w:p>
            <w:pPr>
              <w:spacing w:after="20" w:before="0" w:line="240" w:lineRule="auto"/>
            </w:pPr>
            <w:r>
              <w:rPr>
                <w:b/>
                <w:color w:val="FFFFFF"/>
                <w:sz w:val="15"/>
              </w:rPr>
              <w:t>Area</w:t>
            </w:r>
          </w:p>
        </w:tc>
        <w:tc>
          <w:tcPr>
            <w:tcW w:type="dxa" w:w="2500"/>
            <w:vAlign w:val="top"/>
            <w:shd w:fill="2D3924"/>
          </w:tcPr>
          <w:p>
            <w:pPr>
              <w:spacing w:after="20" w:before="0" w:line="240" w:lineRule="auto"/>
            </w:pPr>
            <w:r>
              <w:rPr>
                <w:b/>
                <w:color w:val="FFFFFF"/>
                <w:sz w:val="15"/>
              </w:rPr>
              <w:t>Question</w:t>
            </w:r>
          </w:p>
        </w:tc>
        <w:tc>
          <w:tcPr>
            <w:tcW w:type="dxa" w:w="4300"/>
            <w:vAlign w:val="top"/>
            <w:shd w:fill="2D3924"/>
          </w:tcPr>
          <w:p>
            <w:pPr>
              <w:spacing w:after="20" w:before="0" w:line="240" w:lineRule="auto"/>
            </w:pPr>
            <w:r>
              <w:rPr>
                <w:b/>
                <w:color w:val="FFFFFF"/>
                <w:sz w:val="15"/>
              </w:rPr>
              <w:t>Guidance</w:t>
            </w:r>
          </w:p>
        </w:tc>
      </w:tr>
      <w:tr>
        <w:trPr>
          <w:cantSplit/>
        </w:trPr>
        <w:tc>
          <w:tcPr>
            <w:tcW w:type="dxa" w:w="2300"/>
            <w:vAlign w:val="top"/>
          </w:tcPr>
          <w:p>
            <w:pPr>
              <w:spacing w:after="20" w:before="0" w:line="240" w:lineRule="auto"/>
            </w:pPr>
            <w:r>
              <w:rPr>
                <w:color w:val="1B1C19"/>
                <w:sz w:val="14"/>
              </w:rPr>
              <w:t>Risk identity</w:t>
            </w:r>
          </w:p>
        </w:tc>
        <w:tc>
          <w:tcPr>
            <w:tcW w:type="dxa" w:w="2500"/>
            <w:vAlign w:val="top"/>
          </w:tcPr>
          <w:p>
            <w:pPr>
              <w:spacing w:after="20" w:before="0" w:line="240" w:lineRule="auto"/>
            </w:pPr>
            <w:r>
              <w:rPr>
                <w:color w:val="1B1C19"/>
                <w:sz w:val="14"/>
              </w:rPr>
              <w:t>What risk is being accepted?</w:t>
            </w:r>
          </w:p>
        </w:tc>
        <w:tc>
          <w:tcPr>
            <w:tcW w:type="dxa" w:w="4300"/>
            <w:vAlign w:val="top"/>
          </w:tcPr>
          <w:p>
            <w:pPr>
              <w:spacing w:after="20" w:before="0" w:line="240" w:lineRule="auto"/>
            </w:pPr>
            <w:r>
              <w:rPr>
                <w:color w:val="1B1C19"/>
                <w:sz w:val="14"/>
              </w:rPr>
              <w:t>Capture ID, name, risk statement, category, impacted objective, LPM layer, and business context.</w:t>
            </w:r>
          </w:p>
        </w:tc>
      </w:tr>
      <w:tr>
        <w:trPr>
          <w:cantSplit/>
        </w:trPr>
        <w:tc>
          <w:tcPr>
            <w:tcW w:type="dxa" w:w="2300"/>
            <w:vAlign w:val="top"/>
            <w:shd w:fill="F0EEE9"/>
          </w:tcPr>
          <w:p>
            <w:pPr>
              <w:spacing w:after="20" w:before="0" w:line="240" w:lineRule="auto"/>
            </w:pPr>
            <w:r>
              <w:rPr>
                <w:color w:val="1B1C19"/>
                <w:sz w:val="14"/>
              </w:rPr>
              <w:t>Authority model</w:t>
            </w:r>
          </w:p>
        </w:tc>
        <w:tc>
          <w:tcPr>
            <w:tcW w:type="dxa" w:w="2500"/>
            <w:vAlign w:val="top"/>
            <w:shd w:fill="F0EEE9"/>
          </w:tcPr>
          <w:p>
            <w:pPr>
              <w:spacing w:after="20" w:before="0" w:line="240" w:lineRule="auto"/>
            </w:pPr>
            <w:r>
              <w:rPr>
                <w:color w:val="1B1C19"/>
                <w:sz w:val="14"/>
              </w:rPr>
              <w:t>Who can accept it?</w:t>
            </w:r>
          </w:p>
        </w:tc>
        <w:tc>
          <w:tcPr>
            <w:tcW w:type="dxa" w:w="4300"/>
            <w:vAlign w:val="top"/>
            <w:shd w:fill="F0EEE9"/>
          </w:tcPr>
          <w:p>
            <w:pPr>
              <w:spacing w:after="20" w:before="0" w:line="240" w:lineRule="auto"/>
            </w:pPr>
            <w:r>
              <w:rPr>
                <w:color w:val="1B1C19"/>
                <w:sz w:val="14"/>
              </w:rPr>
              <w:t>Identify accountable risk owner, approval authority, decision route, governance forum, and executive escalation path.</w:t>
            </w:r>
          </w:p>
        </w:tc>
      </w:tr>
      <w:tr>
        <w:trPr>
          <w:cantSplit/>
        </w:trPr>
        <w:tc>
          <w:tcPr>
            <w:tcW w:type="dxa" w:w="2300"/>
            <w:vAlign w:val="top"/>
          </w:tcPr>
          <w:p>
            <w:pPr>
              <w:spacing w:after="20" w:before="0" w:line="240" w:lineRule="auto"/>
            </w:pPr>
            <w:r>
              <w:rPr>
                <w:color w:val="1B1C19"/>
                <w:sz w:val="14"/>
              </w:rPr>
              <w:t>Evidence model</w:t>
            </w:r>
          </w:p>
        </w:tc>
        <w:tc>
          <w:tcPr>
            <w:tcW w:type="dxa" w:w="2500"/>
            <w:vAlign w:val="top"/>
          </w:tcPr>
          <w:p>
            <w:pPr>
              <w:spacing w:after="20" w:before="0" w:line="240" w:lineRule="auto"/>
            </w:pPr>
            <w:r>
              <w:rPr>
                <w:color w:val="1B1C19"/>
                <w:sz w:val="14"/>
              </w:rPr>
              <w:t>What proves acceptance is reasonable?</w:t>
            </w:r>
          </w:p>
        </w:tc>
        <w:tc>
          <w:tcPr>
            <w:tcW w:type="dxa" w:w="4300"/>
            <w:vAlign w:val="top"/>
          </w:tcPr>
          <w:p>
            <w:pPr>
              <w:spacing w:after="20" w:before="0" w:line="240" w:lineRule="auto"/>
            </w:pPr>
            <w:r>
              <w:rPr>
                <w:color w:val="1B1C19"/>
                <w:sz w:val="14"/>
              </w:rPr>
              <w:t>Attach evidence package, source, freshness, confidence, alternatives considered, impact analysis, and control status.</w:t>
            </w:r>
          </w:p>
        </w:tc>
      </w:tr>
      <w:tr>
        <w:trPr>
          <w:cantSplit/>
        </w:trPr>
        <w:tc>
          <w:tcPr>
            <w:tcW w:type="dxa" w:w="2300"/>
            <w:vAlign w:val="top"/>
            <w:shd w:fill="F0EEE9"/>
          </w:tcPr>
          <w:p>
            <w:pPr>
              <w:spacing w:after="20" w:before="0" w:line="240" w:lineRule="auto"/>
            </w:pPr>
            <w:r>
              <w:rPr>
                <w:color w:val="1B1C19"/>
                <w:sz w:val="14"/>
              </w:rPr>
              <w:t>Control model</w:t>
            </w:r>
          </w:p>
        </w:tc>
        <w:tc>
          <w:tcPr>
            <w:tcW w:type="dxa" w:w="2500"/>
            <w:vAlign w:val="top"/>
            <w:shd w:fill="F0EEE9"/>
          </w:tcPr>
          <w:p>
            <w:pPr>
              <w:spacing w:after="20" w:before="0" w:line="240" w:lineRule="auto"/>
            </w:pPr>
            <w:r>
              <w:rPr>
                <w:color w:val="1B1C19"/>
                <w:sz w:val="14"/>
              </w:rPr>
              <w:t>What keeps the accepted risk bounded?</w:t>
            </w:r>
          </w:p>
        </w:tc>
        <w:tc>
          <w:tcPr>
            <w:tcW w:type="dxa" w:w="4300"/>
            <w:vAlign w:val="top"/>
            <w:shd w:fill="F0EEE9"/>
          </w:tcPr>
          <w:p>
            <w:pPr>
              <w:spacing w:after="20" w:before="0" w:line="240" w:lineRule="auto"/>
            </w:pPr>
            <w:r>
              <w:rPr>
                <w:color w:val="1B1C19"/>
                <w:sz w:val="14"/>
              </w:rPr>
              <w:t>Document controls, mitigations, compensating controls, monitoring rules, control owner, and failure conditions.</w:t>
            </w:r>
          </w:p>
        </w:tc>
      </w:tr>
      <w:tr>
        <w:trPr>
          <w:cantSplit/>
        </w:trPr>
        <w:tc>
          <w:tcPr>
            <w:tcW w:type="dxa" w:w="2300"/>
            <w:vAlign w:val="top"/>
          </w:tcPr>
          <w:p>
            <w:pPr>
              <w:spacing w:after="20" w:before="0" w:line="240" w:lineRule="auto"/>
            </w:pPr>
            <w:r>
              <w:rPr>
                <w:color w:val="1B1C19"/>
                <w:sz w:val="14"/>
              </w:rPr>
              <w:t>AI boundary</w:t>
            </w:r>
          </w:p>
        </w:tc>
        <w:tc>
          <w:tcPr>
            <w:tcW w:type="dxa" w:w="2500"/>
            <w:vAlign w:val="top"/>
          </w:tcPr>
          <w:p>
            <w:pPr>
              <w:spacing w:after="20" w:before="0" w:line="240" w:lineRule="auto"/>
            </w:pPr>
            <w:r>
              <w:rPr>
                <w:color w:val="1B1C19"/>
                <w:sz w:val="14"/>
              </w:rPr>
              <w:t>How does AI interact with the risk?</w:t>
            </w:r>
          </w:p>
        </w:tc>
        <w:tc>
          <w:tcPr>
            <w:tcW w:type="dxa" w:w="4300"/>
            <w:vAlign w:val="top"/>
          </w:tcPr>
          <w:p>
            <w:pPr>
              <w:spacing w:after="20" w:before="0" w:line="240" w:lineRule="auto"/>
            </w:pPr>
            <w:r>
              <w:rPr>
                <w:color w:val="1B1C19"/>
                <w:sz w:val="14"/>
              </w:rPr>
              <w:t>Define allowed AI actions, blocked actions, review rules, logging, retrieval scope, and kill-switch owner.</w:t>
            </w:r>
          </w:p>
        </w:tc>
      </w:tr>
      <w:tr>
        <w:trPr>
          <w:cantSplit/>
        </w:trPr>
        <w:tc>
          <w:tcPr>
            <w:tcW w:type="dxa" w:w="2300"/>
            <w:vAlign w:val="top"/>
            <w:shd w:fill="F0EEE9"/>
          </w:tcPr>
          <w:p>
            <w:pPr>
              <w:spacing w:after="20" w:before="0" w:line="240" w:lineRule="auto"/>
            </w:pPr>
            <w:r>
              <w:rPr>
                <w:color w:val="1B1C19"/>
                <w:sz w:val="14"/>
              </w:rPr>
              <w:t>Lifecycle model</w:t>
            </w:r>
          </w:p>
        </w:tc>
        <w:tc>
          <w:tcPr>
            <w:tcW w:type="dxa" w:w="2500"/>
            <w:vAlign w:val="top"/>
            <w:shd w:fill="F0EEE9"/>
          </w:tcPr>
          <w:p>
            <w:pPr>
              <w:spacing w:after="20" w:before="0" w:line="240" w:lineRule="auto"/>
            </w:pPr>
            <w:r>
              <w:rPr>
                <w:color w:val="1B1C19"/>
                <w:sz w:val="14"/>
              </w:rPr>
              <w:t>When does acceptance end?</w:t>
            </w:r>
          </w:p>
        </w:tc>
        <w:tc>
          <w:tcPr>
            <w:tcW w:type="dxa" w:w="4300"/>
            <w:vAlign w:val="top"/>
            <w:shd w:fill="F0EEE9"/>
          </w:tcPr>
          <w:p>
            <w:pPr>
              <w:spacing w:after="20" w:before="0" w:line="240" w:lineRule="auto"/>
            </w:pPr>
            <w:r>
              <w:rPr>
                <w:color w:val="1B1C19"/>
                <w:sz w:val="14"/>
              </w:rPr>
              <w:t>Define expiration date, review cadence, trigger conditions, renewal rule, closure path, and supersession rule.</w:t>
            </w:r>
          </w:p>
        </w:tc>
      </w:tr>
    </w:tbl>
    <w:p/>
    <w:p>
      <w:r>
        <w:br w:type="page"/>
      </w:r>
    </w:p>
    <w:p>
      <w:pPr>
        <w:pStyle w:val="Heading1"/>
      </w:pPr>
      <w:r>
        <w:rPr>
          <w:rFonts w:ascii="Aptos Display" w:hAnsi="Aptos Display"/>
          <w:color w:val="2D3924"/>
        </w:rPr>
        <w:t>Workflow</w:t>
      </w:r>
    </w:p>
    <w:tbl>
      <w:tblPr>
        <w:tblStyle w:val="TableGrid"/>
        <w:tblW w:type="auto" w:w="0"/>
        <w:jc w:val="center"/>
        <w:tblLook w:firstColumn="1" w:firstRow="1" w:lastColumn="0" w:lastRow="0" w:noHBand="0" w:noVBand="1" w:val="04A0"/>
      </w:tblPr>
      <w:tblGrid>
        <w:gridCol w:w="5328"/>
        <w:gridCol w:w="5328"/>
      </w:tblGrid>
      <w:tr>
        <w:trPr>
          <w:cantSplit/>
        </w:trPr>
        <w:tc>
          <w:tcPr>
            <w:tcW w:type="dxa" w:w="1900"/>
            <w:vAlign w:val="top"/>
            <w:shd w:fill="2D3924"/>
          </w:tcPr>
          <w:p>
            <w:pPr>
              <w:spacing w:after="20" w:before="0" w:line="240" w:lineRule="auto"/>
            </w:pPr>
            <w:r>
              <w:rPr>
                <w:b/>
                <w:color w:val="FFFFFF"/>
                <w:sz w:val="15"/>
              </w:rPr>
              <w:t>Step</w:t>
            </w:r>
          </w:p>
        </w:tc>
        <w:tc>
          <w:tcPr>
            <w:tcW w:type="dxa" w:w="7100"/>
            <w:vAlign w:val="top"/>
            <w:shd w:fill="2D3924"/>
          </w:tcPr>
          <w:p>
            <w:pPr>
              <w:spacing w:after="20" w:before="0" w:line="240" w:lineRule="auto"/>
            </w:pPr>
            <w:r>
              <w:rPr>
                <w:b/>
                <w:color w:val="FFFFFF"/>
                <w:sz w:val="15"/>
              </w:rPr>
              <w:t>Action</w:t>
            </w:r>
          </w:p>
        </w:tc>
      </w:tr>
      <w:tr>
        <w:trPr>
          <w:cantSplit/>
        </w:trPr>
        <w:tc>
          <w:tcPr>
            <w:tcW w:type="dxa" w:w="1900"/>
            <w:vAlign w:val="top"/>
          </w:tcPr>
          <w:p>
            <w:pPr>
              <w:spacing w:after="20" w:before="0" w:line="240" w:lineRule="auto"/>
            </w:pPr>
            <w:r>
              <w:rPr>
                <w:color w:val="1B1C19"/>
                <w:sz w:val="14"/>
              </w:rPr>
              <w:t>1. Identify risk</w:t>
            </w:r>
          </w:p>
        </w:tc>
        <w:tc>
          <w:tcPr>
            <w:tcW w:type="dxa" w:w="7100"/>
            <w:vAlign w:val="top"/>
          </w:tcPr>
          <w:p>
            <w:pPr>
              <w:spacing w:after="20" w:before="0" w:line="240" w:lineRule="auto"/>
            </w:pPr>
            <w:r>
              <w:rPr>
                <w:color w:val="1B1C19"/>
                <w:sz w:val="14"/>
              </w:rPr>
              <w:t>Write the risk statement in condition, cause, and impact form. Avoid vague labels such as technical risk or business risk without context.</w:t>
            </w:r>
          </w:p>
        </w:tc>
      </w:tr>
      <w:tr>
        <w:trPr>
          <w:cantSplit/>
        </w:trPr>
        <w:tc>
          <w:tcPr>
            <w:tcW w:type="dxa" w:w="1900"/>
            <w:vAlign w:val="top"/>
            <w:shd w:fill="F0EEE9"/>
          </w:tcPr>
          <w:p>
            <w:pPr>
              <w:spacing w:after="20" w:before="0" w:line="240" w:lineRule="auto"/>
            </w:pPr>
            <w:r>
              <w:rPr>
                <w:color w:val="1B1C19"/>
                <w:sz w:val="14"/>
              </w:rPr>
              <w:t>2. Classify exposure</w:t>
            </w:r>
          </w:p>
        </w:tc>
        <w:tc>
          <w:tcPr>
            <w:tcW w:type="dxa" w:w="7100"/>
            <w:vAlign w:val="top"/>
            <w:shd w:fill="F0EEE9"/>
          </w:tcPr>
          <w:p>
            <w:pPr>
              <w:spacing w:after="20" w:before="0" w:line="240" w:lineRule="auto"/>
            </w:pPr>
            <w:r>
              <w:rPr>
                <w:color w:val="1B1C19"/>
                <w:sz w:val="14"/>
              </w:rPr>
              <w:t>Assign category, LPM layer, inherent risk, residual risk, impacted objective, affected systems, data, workflows, controls, and AI involvement.</w:t>
            </w:r>
          </w:p>
        </w:tc>
      </w:tr>
      <w:tr>
        <w:trPr>
          <w:cantSplit/>
        </w:trPr>
        <w:tc>
          <w:tcPr>
            <w:tcW w:type="dxa" w:w="1900"/>
            <w:vAlign w:val="top"/>
          </w:tcPr>
          <w:p>
            <w:pPr>
              <w:spacing w:after="20" w:before="0" w:line="240" w:lineRule="auto"/>
            </w:pPr>
            <w:r>
              <w:rPr>
                <w:color w:val="1B1C19"/>
                <w:sz w:val="14"/>
              </w:rPr>
              <w:t>3. Confirm authority</w:t>
            </w:r>
          </w:p>
        </w:tc>
        <w:tc>
          <w:tcPr>
            <w:tcW w:type="dxa" w:w="7100"/>
            <w:vAlign w:val="top"/>
          </w:tcPr>
          <w:p>
            <w:pPr>
              <w:spacing w:after="20" w:before="0" w:line="240" w:lineRule="auto"/>
            </w:pPr>
            <w:r>
              <w:rPr>
                <w:color w:val="1B1C19"/>
                <w:sz w:val="14"/>
              </w:rPr>
              <w:t>Validate who has decision rights to accept the risk and whether escalation is required by severity, regulation, AI boundary, financial impact, or control gap.</w:t>
            </w:r>
          </w:p>
        </w:tc>
      </w:tr>
      <w:tr>
        <w:trPr>
          <w:cantSplit/>
        </w:trPr>
        <w:tc>
          <w:tcPr>
            <w:tcW w:type="dxa" w:w="1900"/>
            <w:vAlign w:val="top"/>
            <w:shd w:fill="F0EEE9"/>
          </w:tcPr>
          <w:p>
            <w:pPr>
              <w:spacing w:after="20" w:before="0" w:line="240" w:lineRule="auto"/>
            </w:pPr>
            <w:r>
              <w:rPr>
                <w:color w:val="1B1C19"/>
                <w:sz w:val="14"/>
              </w:rPr>
              <w:t>4. Build evidence package</w:t>
            </w:r>
          </w:p>
        </w:tc>
        <w:tc>
          <w:tcPr>
            <w:tcW w:type="dxa" w:w="7100"/>
            <w:vAlign w:val="top"/>
            <w:shd w:fill="F0EEE9"/>
          </w:tcPr>
          <w:p>
            <w:pPr>
              <w:spacing w:after="20" w:before="0" w:line="240" w:lineRule="auto"/>
            </w:pPr>
            <w:r>
              <w:rPr>
                <w:color w:val="1B1C19"/>
                <w:sz w:val="14"/>
              </w:rPr>
              <w:t>Attach evidence source, freshness, confidence, alternatives considered, control status, mitigation plan, monitoring rule, and tradeoff analysis.</w:t>
            </w:r>
          </w:p>
        </w:tc>
      </w:tr>
      <w:tr>
        <w:trPr>
          <w:cantSplit/>
        </w:trPr>
        <w:tc>
          <w:tcPr>
            <w:tcW w:type="dxa" w:w="1900"/>
            <w:vAlign w:val="top"/>
          </w:tcPr>
          <w:p>
            <w:pPr>
              <w:spacing w:after="20" w:before="0" w:line="240" w:lineRule="auto"/>
            </w:pPr>
            <w:r>
              <w:rPr>
                <w:color w:val="1B1C19"/>
                <w:sz w:val="14"/>
              </w:rPr>
              <w:t>5. Define acceptance terms</w:t>
            </w:r>
          </w:p>
        </w:tc>
        <w:tc>
          <w:tcPr>
            <w:tcW w:type="dxa" w:w="7100"/>
            <w:vAlign w:val="top"/>
          </w:tcPr>
          <w:p>
            <w:pPr>
              <w:spacing w:after="20" w:before="0" w:line="240" w:lineRule="auto"/>
            </w:pPr>
            <w:r>
              <w:rPr>
                <w:color w:val="1B1C19"/>
                <w:sz w:val="14"/>
              </w:rPr>
              <w:t>Set owner, expiration date, review cadence, trigger conditions, escalation path, compensating controls, and closure or renewal requirements.</w:t>
            </w:r>
          </w:p>
        </w:tc>
      </w:tr>
      <w:tr>
        <w:trPr>
          <w:cantSplit/>
        </w:trPr>
        <w:tc>
          <w:tcPr>
            <w:tcW w:type="dxa" w:w="1900"/>
            <w:vAlign w:val="top"/>
            <w:shd w:fill="F0EEE9"/>
          </w:tcPr>
          <w:p>
            <w:pPr>
              <w:spacing w:after="20" w:before="0" w:line="240" w:lineRule="auto"/>
            </w:pPr>
            <w:r>
              <w:rPr>
                <w:color w:val="1B1C19"/>
                <w:sz w:val="14"/>
              </w:rPr>
              <w:t>6. Approve or reject</w:t>
            </w:r>
          </w:p>
        </w:tc>
        <w:tc>
          <w:tcPr>
            <w:tcW w:type="dxa" w:w="7100"/>
            <w:vAlign w:val="top"/>
            <w:shd w:fill="F0EEE9"/>
          </w:tcPr>
          <w:p>
            <w:pPr>
              <w:spacing w:after="20" w:before="0" w:line="240" w:lineRule="auto"/>
            </w:pPr>
            <w:r>
              <w:rPr>
                <w:color w:val="1B1C19"/>
                <w:sz w:val="14"/>
              </w:rPr>
              <w:t>Approval authority accepts, rejects, escalates, or requests more evidence. Document the decision in the risk register and decision log.</w:t>
            </w:r>
          </w:p>
        </w:tc>
      </w:tr>
      <w:tr>
        <w:trPr>
          <w:cantSplit/>
        </w:trPr>
        <w:tc>
          <w:tcPr>
            <w:tcW w:type="dxa" w:w="1900"/>
            <w:vAlign w:val="top"/>
          </w:tcPr>
          <w:p>
            <w:pPr>
              <w:spacing w:after="20" w:before="0" w:line="240" w:lineRule="auto"/>
            </w:pPr>
            <w:r>
              <w:rPr>
                <w:color w:val="1B1C19"/>
                <w:sz w:val="14"/>
              </w:rPr>
              <w:t>7. Monitor and review</w:t>
            </w:r>
          </w:p>
        </w:tc>
        <w:tc>
          <w:tcPr>
            <w:tcW w:type="dxa" w:w="7100"/>
            <w:vAlign w:val="top"/>
          </w:tcPr>
          <w:p>
            <w:pPr>
              <w:spacing w:after="20" w:before="0" w:line="240" w:lineRule="auto"/>
            </w:pPr>
            <w:r>
              <w:rPr>
                <w:color w:val="1B1C19"/>
                <w:sz w:val="14"/>
              </w:rPr>
              <w:t>Track evidence freshness, control performance, incidents, AI boundary violations, expiration dates, and changing business context.</w:t>
            </w:r>
          </w:p>
        </w:tc>
      </w:tr>
      <w:tr>
        <w:trPr>
          <w:cantSplit/>
        </w:trPr>
        <w:tc>
          <w:tcPr>
            <w:tcW w:type="dxa" w:w="1900"/>
            <w:vAlign w:val="top"/>
            <w:shd w:fill="F0EEE9"/>
          </w:tcPr>
          <w:p>
            <w:pPr>
              <w:spacing w:after="20" w:before="0" w:line="240" w:lineRule="auto"/>
            </w:pPr>
            <w:r>
              <w:rPr>
                <w:color w:val="1B1C19"/>
                <w:sz w:val="14"/>
              </w:rPr>
              <w:t>8. Close, renew, or escalate</w:t>
            </w:r>
          </w:p>
        </w:tc>
        <w:tc>
          <w:tcPr>
            <w:tcW w:type="dxa" w:w="7100"/>
            <w:vAlign w:val="top"/>
            <w:shd w:fill="F0EEE9"/>
          </w:tcPr>
          <w:p>
            <w:pPr>
              <w:spacing w:after="20" w:before="0" w:line="240" w:lineRule="auto"/>
            </w:pPr>
            <w:r>
              <w:rPr>
                <w:color w:val="1B1C19"/>
                <w:sz w:val="14"/>
              </w:rPr>
              <w:t>At expiration or trigger event, close the risk, renew with new evidence, escalate, redesign controls, fund remediation, or stop the affected work.</w:t>
            </w:r>
          </w:p>
        </w:tc>
      </w:tr>
    </w:tbl>
    <w:p/>
    <w:p>
      <w:pPr>
        <w:pStyle w:val="Heading1"/>
      </w:pPr>
      <w:r>
        <w:rPr>
          <w:rFonts w:ascii="Aptos Display" w:hAnsi="Aptos Display"/>
          <w:color w:val="2D3924"/>
        </w:rPr>
        <w:t>Version for 500+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Create simple visibility so accepted risk is not hidden in leadership conversations, spreadsheets, or project notes.</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Track high and material medium risks across critical workflows, customer-impacting work, core systems, security/privacy exposure, and AI initiatives.</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Risk owner, approving executive, basic evidence package, expiration date, monthly review, and clear escalation path.</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No AI initiative should accept risk without a named business owner, human review rule, data boundary, and stop or rollback path.</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Use the register with the Control Map, Governance Decision Tree, Decision Log, and AI Initiative Owner Register.</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Accepted risk has no expiration, no owner, no evidence, no review cadence, or no clear approval authority.</w:t>
            </w:r>
          </w:p>
        </w:tc>
      </w:tr>
    </w:tbl>
    <w:p/>
    <w:p>
      <w:pPr>
        <w:pStyle w:val="Heading1"/>
      </w:pPr>
      <w:r>
        <w:rPr>
          <w:rFonts w:ascii="Aptos Display" w:hAnsi="Aptos Display"/>
          <w:color w:val="2D3924"/>
        </w:rPr>
        <w:t>Version for 5,000+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Standardize risk acceptance across functions, product lines, shared services, vendors, systems, data, and AI use cases.</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Track accepted risks by domain, severity, owner, approval forum, control dependency, evidence source, system dependency, AI involvement, and remediation path.</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Domain-level acceptance with central governance visibility, quarterly executive review, automated expiration alerts, and issue linkage.</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AI-related accepted risk must include retrieval limits, output review, action permissions, audit logs, model or agent owner, and kill-switch owner.</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Connect accepted risks to control maps, evidence checklists, platform maps, data lineage maps, integration maps, and decision logs.</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Different functions use different acceptance rules, exceptions never expire, and AI tools operate under assumed rather than documented risk acceptance.</w:t>
            </w:r>
          </w:p>
        </w:tc>
      </w:tr>
    </w:tbl>
    <w:p/>
    <w:p>
      <w:r>
        <w:br w:type="page"/>
      </w:r>
    </w:p>
    <w:p>
      <w:pPr>
        <w:pStyle w:val="Heading1"/>
      </w:pPr>
      <w:r>
        <w:rPr>
          <w:rFonts w:ascii="Aptos Display" w:hAnsi="Aptos Display"/>
          <w:color w:val="2D3924"/>
        </w:rPr>
        <w:t>Version for 10,000+ employee company</w:t>
      </w:r>
    </w:p>
    <w:tbl>
      <w:tblPr>
        <w:tblStyle w:val="TableGrid"/>
        <w:tblW w:type="auto" w:w="0"/>
        <w:jc w:val="center"/>
        <w:tblLook w:firstColumn="1" w:firstRow="1" w:lastColumn="0" w:lastRow="0" w:noHBand="0" w:noVBand="1" w:val="04A0"/>
      </w:tblPr>
      <w:tblGrid>
        <w:gridCol w:w="5328"/>
        <w:gridCol w:w="5328"/>
      </w:tblGrid>
      <w:tr>
        <w:trPr>
          <w:cantSplit/>
        </w:trPr>
        <w:tc>
          <w:tcPr>
            <w:tcW w:type="dxa" w:w="2200"/>
            <w:vAlign w:val="top"/>
            <w:shd w:fill="2D3924"/>
          </w:tcPr>
          <w:p>
            <w:pPr>
              <w:spacing w:after="20" w:before="0" w:line="240" w:lineRule="auto"/>
            </w:pPr>
            <w:r>
              <w:rPr>
                <w:b/>
                <w:color w:val="FFFFFF"/>
                <w:sz w:val="15"/>
              </w:rPr>
              <w:t>Dimension</w:t>
            </w:r>
          </w:p>
        </w:tc>
        <w:tc>
          <w:tcPr>
            <w:tcW w:type="dxa" w:w="6800"/>
            <w:vAlign w:val="top"/>
            <w:shd w:fill="2D3924"/>
          </w:tcPr>
          <w:p>
            <w:pPr>
              <w:spacing w:after="20" w:before="0" w:line="240" w:lineRule="auto"/>
            </w:pPr>
            <w:r>
              <w:rPr>
                <w:b/>
                <w:color w:val="FFFFFF"/>
                <w:sz w:val="15"/>
              </w:rPr>
              <w:t>Recommended pattern</w:t>
            </w:r>
          </w:p>
        </w:tc>
      </w:tr>
      <w:tr>
        <w:trPr>
          <w:cantSplit/>
        </w:trPr>
        <w:tc>
          <w:tcPr>
            <w:tcW w:type="dxa" w:w="2200"/>
            <w:vAlign w:val="top"/>
          </w:tcPr>
          <w:p>
            <w:pPr>
              <w:spacing w:after="20" w:before="0" w:line="240" w:lineRule="auto"/>
            </w:pPr>
            <w:r>
              <w:rPr>
                <w:color w:val="1B1C19"/>
                <w:sz w:val="14"/>
              </w:rPr>
              <w:t>Design intent</w:t>
            </w:r>
          </w:p>
        </w:tc>
        <w:tc>
          <w:tcPr>
            <w:tcW w:type="dxa" w:w="6800"/>
            <w:vAlign w:val="top"/>
          </w:tcPr>
          <w:p>
            <w:pPr>
              <w:spacing w:after="20" w:before="0" w:line="240" w:lineRule="auto"/>
            </w:pPr>
            <w:r>
              <w:rPr>
                <w:color w:val="1B1C19"/>
                <w:sz w:val="14"/>
              </w:rPr>
              <w:t>Create enterprise-grade risk acceptance lineage across business units, regions, regulated functions, shared services, vendors, AI agents, and critical platforms.</w:t>
            </w:r>
          </w:p>
        </w:tc>
      </w:tr>
      <w:tr>
        <w:trPr>
          <w:cantSplit/>
        </w:trPr>
        <w:tc>
          <w:tcPr>
            <w:tcW w:type="dxa" w:w="2200"/>
            <w:vAlign w:val="top"/>
            <w:shd w:fill="F0EEE9"/>
          </w:tcPr>
          <w:p>
            <w:pPr>
              <w:spacing w:after="20" w:before="0" w:line="240" w:lineRule="auto"/>
            </w:pPr>
            <w:r>
              <w:rPr>
                <w:color w:val="1B1C19"/>
                <w:sz w:val="14"/>
              </w:rPr>
              <w:t>Minimum scope</w:t>
            </w:r>
          </w:p>
        </w:tc>
        <w:tc>
          <w:tcPr>
            <w:tcW w:type="dxa" w:w="6800"/>
            <w:vAlign w:val="top"/>
            <w:shd w:fill="F0EEE9"/>
          </w:tcPr>
          <w:p>
            <w:pPr>
              <w:spacing w:after="20" w:before="0" w:line="240" w:lineRule="auto"/>
            </w:pPr>
            <w:r>
              <w:rPr>
                <w:color w:val="1B1C19"/>
                <w:sz w:val="14"/>
              </w:rPr>
              <w:t>Track acceptance authority, risk appetite alignment, regulatory exposure, financial exposure, customer impact, policy exceptions, model risk, data risk, and control exceptions.</w:t>
            </w:r>
          </w:p>
        </w:tc>
      </w:tr>
      <w:tr>
        <w:trPr>
          <w:cantSplit/>
        </w:trPr>
        <w:tc>
          <w:tcPr>
            <w:tcW w:type="dxa" w:w="2200"/>
            <w:vAlign w:val="top"/>
          </w:tcPr>
          <w:p>
            <w:pPr>
              <w:spacing w:after="20" w:before="0" w:line="240" w:lineRule="auto"/>
            </w:pPr>
            <w:r>
              <w:rPr>
                <w:color w:val="1B1C19"/>
                <w:sz w:val="14"/>
              </w:rPr>
              <w:t>Operating pattern</w:t>
            </w:r>
          </w:p>
        </w:tc>
        <w:tc>
          <w:tcPr>
            <w:tcW w:type="dxa" w:w="6800"/>
            <w:vAlign w:val="top"/>
          </w:tcPr>
          <w:p>
            <w:pPr>
              <w:spacing w:after="20" w:before="0" w:line="240" w:lineRule="auto"/>
            </w:pPr>
            <w:r>
              <w:rPr>
                <w:color w:val="1B1C19"/>
                <w:sz w:val="14"/>
              </w:rPr>
              <w:t>Integrated GRC workflow with enterprise risk taxonomy, approvals, evidence packages, expiration monitoring, remediation workflow, and board or executive reporting.</w:t>
            </w:r>
          </w:p>
        </w:tc>
      </w:tr>
      <w:tr>
        <w:trPr>
          <w:cantSplit/>
        </w:trPr>
        <w:tc>
          <w:tcPr>
            <w:tcW w:type="dxa" w:w="2200"/>
            <w:vAlign w:val="top"/>
            <w:shd w:fill="F0EEE9"/>
          </w:tcPr>
          <w:p>
            <w:pPr>
              <w:spacing w:after="20" w:before="0" w:line="240" w:lineRule="auto"/>
            </w:pPr>
            <w:r>
              <w:rPr>
                <w:color w:val="1B1C19"/>
                <w:sz w:val="14"/>
              </w:rPr>
              <w:t>AI focus</w:t>
            </w:r>
          </w:p>
        </w:tc>
        <w:tc>
          <w:tcPr>
            <w:tcW w:type="dxa" w:w="6800"/>
            <w:vAlign w:val="top"/>
            <w:shd w:fill="F0EEE9"/>
          </w:tcPr>
          <w:p>
            <w:pPr>
              <w:spacing w:after="20" w:before="0" w:line="240" w:lineRule="auto"/>
            </w:pPr>
            <w:r>
              <w:rPr>
                <w:color w:val="1B1C19"/>
                <w:sz w:val="14"/>
              </w:rPr>
              <w:t>AI risk acceptance requires enterprise AI governance review for high-impact systems, automated decisioning, sensitive data, external communication, or material control bypass.</w:t>
            </w:r>
          </w:p>
        </w:tc>
      </w:tr>
      <w:tr>
        <w:trPr>
          <w:cantSplit/>
        </w:trPr>
        <w:tc>
          <w:tcPr>
            <w:tcW w:type="dxa" w:w="2200"/>
            <w:vAlign w:val="top"/>
          </w:tcPr>
          <w:p>
            <w:pPr>
              <w:spacing w:after="20" w:before="0" w:line="240" w:lineRule="auto"/>
            </w:pPr>
            <w:r>
              <w:rPr>
                <w:color w:val="1B1C19"/>
                <w:sz w:val="14"/>
              </w:rPr>
              <w:t>Governance need</w:t>
            </w:r>
          </w:p>
        </w:tc>
        <w:tc>
          <w:tcPr>
            <w:tcW w:type="dxa" w:w="6800"/>
            <w:vAlign w:val="top"/>
          </w:tcPr>
          <w:p>
            <w:pPr>
              <w:spacing w:after="20" w:before="0" w:line="240" w:lineRule="auto"/>
            </w:pPr>
            <w:r>
              <w:rPr>
                <w:color w:val="1B1C19"/>
                <w:sz w:val="14"/>
              </w:rPr>
              <w:t>Integrate with enterprise risk, compliance, internal audit, legal, privacy, security, model risk, data governance, architecture, finance, procurement, and executive governance.</w:t>
            </w:r>
          </w:p>
        </w:tc>
      </w:tr>
      <w:tr>
        <w:trPr>
          <w:cantSplit/>
        </w:trPr>
        <w:tc>
          <w:tcPr>
            <w:tcW w:type="dxa" w:w="2200"/>
            <w:vAlign w:val="top"/>
            <w:shd w:fill="F0EEE9"/>
          </w:tcPr>
          <w:p>
            <w:pPr>
              <w:spacing w:after="20" w:before="0" w:line="240" w:lineRule="auto"/>
            </w:pPr>
            <w:r>
              <w:rPr>
                <w:color w:val="1B1C19"/>
                <w:sz w:val="14"/>
              </w:rPr>
              <w:t>Red flags</w:t>
            </w:r>
          </w:p>
        </w:tc>
        <w:tc>
          <w:tcPr>
            <w:tcW w:type="dxa" w:w="6800"/>
            <w:vAlign w:val="top"/>
            <w:shd w:fill="F0EEE9"/>
          </w:tcPr>
          <w:p>
            <w:pPr>
              <w:spacing w:after="20" w:before="0" w:line="240" w:lineRule="auto"/>
            </w:pPr>
            <w:r>
              <w:rPr>
                <w:color w:val="1B1C19"/>
                <w:sz w:val="14"/>
              </w:rPr>
              <w:t>Risk acceptance becomes a workaround for unfunded controls, regional exceptions conflict, accepted AI risk has no monitoring, and audit cannot replay the acceptance rationale.</w:t>
            </w:r>
          </w:p>
        </w:tc>
      </w:tr>
    </w:tbl>
    <w:p/>
    <w:p>
      <w:pPr>
        <w:pStyle w:val="Heading1"/>
      </w:pPr>
      <w:r>
        <w:rPr>
          <w:rFonts w:ascii="Aptos Display" w:hAnsi="Aptos Display"/>
          <w:color w:val="2D3924"/>
        </w:rPr>
        <w:t>Scoring logic</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300"/>
            <w:vAlign w:val="top"/>
            <w:shd w:fill="2D3924"/>
          </w:tcPr>
          <w:p>
            <w:pPr>
              <w:spacing w:after="20" w:before="0" w:line="240" w:lineRule="auto"/>
            </w:pPr>
            <w:r>
              <w:rPr>
                <w:b/>
                <w:color w:val="FFFFFF"/>
                <w:sz w:val="15"/>
              </w:rPr>
              <w:t>Dimension</w:t>
            </w:r>
          </w:p>
        </w:tc>
        <w:tc>
          <w:tcPr>
            <w:tcW w:type="dxa" w:w="1000"/>
            <w:vAlign w:val="top"/>
            <w:shd w:fill="2D3924"/>
          </w:tcPr>
          <w:p>
            <w:pPr>
              <w:spacing w:after="20" w:before="0" w:line="240" w:lineRule="auto"/>
            </w:pPr>
            <w:r>
              <w:rPr>
                <w:b/>
                <w:color w:val="FFFFFF"/>
                <w:sz w:val="15"/>
              </w:rPr>
              <w:t>Score</w:t>
            </w:r>
          </w:p>
        </w:tc>
        <w:tc>
          <w:tcPr>
            <w:tcW w:type="dxa" w:w="5700"/>
            <w:vAlign w:val="top"/>
            <w:shd w:fill="2D3924"/>
          </w:tcPr>
          <w:p>
            <w:pPr>
              <w:spacing w:after="20" w:before="0" w:line="240" w:lineRule="auto"/>
            </w:pPr>
            <w:r>
              <w:rPr>
                <w:b/>
                <w:color w:val="FFFFFF"/>
                <w:sz w:val="15"/>
              </w:rPr>
              <w:t>What good looks like</w:t>
            </w:r>
          </w:p>
        </w:tc>
      </w:tr>
      <w:tr>
        <w:trPr>
          <w:cantSplit/>
        </w:trPr>
        <w:tc>
          <w:tcPr>
            <w:tcW w:type="dxa" w:w="2300"/>
            <w:vAlign w:val="top"/>
          </w:tcPr>
          <w:p>
            <w:pPr>
              <w:spacing w:after="20" w:before="0" w:line="240" w:lineRule="auto"/>
            </w:pPr>
            <w:r>
              <w:rPr>
                <w:color w:val="1B1C19"/>
                <w:sz w:val="14"/>
              </w:rPr>
              <w:t>Risk clarity</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The risk statement clearly states condition, cause, impact, category, LPM layer, and affected objective.</w:t>
            </w:r>
          </w:p>
        </w:tc>
      </w:tr>
      <w:tr>
        <w:trPr>
          <w:cantSplit/>
        </w:trPr>
        <w:tc>
          <w:tcPr>
            <w:tcW w:type="dxa" w:w="2300"/>
            <w:vAlign w:val="top"/>
            <w:shd w:fill="F0EEE9"/>
          </w:tcPr>
          <w:p>
            <w:pPr>
              <w:spacing w:after="20" w:before="0" w:line="240" w:lineRule="auto"/>
            </w:pPr>
            <w:r>
              <w:rPr>
                <w:color w:val="1B1C19"/>
                <w:sz w:val="14"/>
              </w:rPr>
              <w:t>Ownership clarity</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Accountable risk owner, control owner, evidence owner, approval authority, and escalation owner are clear.</w:t>
            </w:r>
          </w:p>
        </w:tc>
      </w:tr>
      <w:tr>
        <w:trPr>
          <w:cantSplit/>
        </w:trPr>
        <w:tc>
          <w:tcPr>
            <w:tcW w:type="dxa" w:w="2300"/>
            <w:vAlign w:val="top"/>
          </w:tcPr>
          <w:p>
            <w:pPr>
              <w:spacing w:after="20" w:before="0" w:line="240" w:lineRule="auto"/>
            </w:pPr>
            <w:r>
              <w:rPr>
                <w:color w:val="1B1C19"/>
                <w:sz w:val="14"/>
              </w:rPr>
              <w:t>Authority fit</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The acceptance decision is made by the correct authority for the risk severity, policy, AI boundary, and business exposure.</w:t>
            </w:r>
          </w:p>
        </w:tc>
      </w:tr>
      <w:tr>
        <w:trPr>
          <w:cantSplit/>
        </w:trPr>
        <w:tc>
          <w:tcPr>
            <w:tcW w:type="dxa" w:w="2300"/>
            <w:vAlign w:val="top"/>
            <w:shd w:fill="F0EEE9"/>
          </w:tcPr>
          <w:p>
            <w:pPr>
              <w:spacing w:after="20" w:before="0" w:line="240" w:lineRule="auto"/>
            </w:pPr>
            <w:r>
              <w:rPr>
                <w:color w:val="1B1C19"/>
                <w:sz w:val="14"/>
              </w:rPr>
              <w:t>Evidence strength</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Evidence is current, sourced, owned, confidence-rated, and sufficient to support the acceptance rationale.</w:t>
            </w:r>
          </w:p>
        </w:tc>
      </w:tr>
      <w:tr>
        <w:trPr>
          <w:cantSplit/>
        </w:trPr>
        <w:tc>
          <w:tcPr>
            <w:tcW w:type="dxa" w:w="2300"/>
            <w:vAlign w:val="top"/>
          </w:tcPr>
          <w:p>
            <w:pPr>
              <w:spacing w:after="20" w:before="0" w:line="240" w:lineRule="auto"/>
            </w:pPr>
            <w:r>
              <w:rPr>
                <w:color w:val="1B1C19"/>
                <w:sz w:val="14"/>
              </w:rPr>
              <w:t>Control coverage</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Controls, mitigations, compensating controls, monitoring, and failure paths are documented and active.</w:t>
            </w:r>
          </w:p>
        </w:tc>
      </w:tr>
      <w:tr>
        <w:trPr>
          <w:cantSplit/>
        </w:trPr>
        <w:tc>
          <w:tcPr>
            <w:tcW w:type="dxa" w:w="2300"/>
            <w:vAlign w:val="top"/>
            <w:shd w:fill="F0EEE9"/>
          </w:tcPr>
          <w:p>
            <w:pPr>
              <w:spacing w:after="20" w:before="0" w:line="240" w:lineRule="auto"/>
            </w:pPr>
            <w:r>
              <w:rPr>
                <w:color w:val="1B1C19"/>
                <w:sz w:val="14"/>
              </w:rPr>
              <w:t>AI boundary clarity</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AI allowed actions, blocked actions, human review, retrieval scope, logs, and kill-switch ownership are explicit.</w:t>
            </w:r>
          </w:p>
        </w:tc>
      </w:tr>
      <w:tr>
        <w:trPr>
          <w:cantSplit/>
        </w:trPr>
        <w:tc>
          <w:tcPr>
            <w:tcW w:type="dxa" w:w="2300"/>
            <w:vAlign w:val="top"/>
          </w:tcPr>
          <w:p>
            <w:pPr>
              <w:spacing w:after="20" w:before="0" w:line="240" w:lineRule="auto"/>
            </w:pPr>
            <w:r>
              <w:rPr>
                <w:color w:val="1B1C19"/>
                <w:sz w:val="14"/>
              </w:rPr>
              <w:t>Expiration discipline</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Acceptance has expiration date, review cadence, trigger conditions, renewal rule, and closure path.</w:t>
            </w:r>
          </w:p>
        </w:tc>
      </w:tr>
      <w:tr>
        <w:trPr>
          <w:cantSplit/>
        </w:trPr>
        <w:tc>
          <w:tcPr>
            <w:tcW w:type="dxa" w:w="2300"/>
            <w:vAlign w:val="top"/>
            <w:shd w:fill="F0EEE9"/>
          </w:tcPr>
          <w:p>
            <w:pPr>
              <w:spacing w:after="20" w:before="0" w:line="240" w:lineRule="auto"/>
            </w:pPr>
            <w:r>
              <w:rPr>
                <w:color w:val="1B1C19"/>
                <w:sz w:val="14"/>
              </w:rPr>
              <w:t>Escalation readiness</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Escalation path is defined for increased exposure, weak evidence, failed controls, incidents, missed expiration, or AI boundary breach.</w:t>
            </w:r>
          </w:p>
        </w:tc>
      </w:tr>
      <w:tr>
        <w:trPr>
          <w:cantSplit/>
        </w:trPr>
        <w:tc>
          <w:tcPr>
            <w:tcW w:type="dxa" w:w="2300"/>
            <w:vAlign w:val="top"/>
          </w:tcPr>
          <w:p>
            <w:pPr>
              <w:spacing w:after="20" w:before="0" w:line="240" w:lineRule="auto"/>
            </w:pPr>
            <w:r>
              <w:rPr>
                <w:color w:val="1B1C19"/>
                <w:sz w:val="14"/>
              </w:rPr>
              <w:t>Remediation path</w:t>
            </w:r>
          </w:p>
        </w:tc>
        <w:tc>
          <w:tcPr>
            <w:tcW w:type="dxa" w:w="1000"/>
            <w:vAlign w:val="top"/>
          </w:tcPr>
          <w:p>
            <w:pPr>
              <w:spacing w:after="20" w:before="0" w:line="240" w:lineRule="auto"/>
            </w:pPr>
            <w:r>
              <w:rPr>
                <w:color w:val="1B1C19"/>
                <w:sz w:val="14"/>
              </w:rPr>
              <w:t>0-5</w:t>
            </w:r>
          </w:p>
        </w:tc>
        <w:tc>
          <w:tcPr>
            <w:tcW w:type="dxa" w:w="5700"/>
            <w:vAlign w:val="top"/>
          </w:tcPr>
          <w:p>
            <w:pPr>
              <w:spacing w:after="20" w:before="0" w:line="240" w:lineRule="auto"/>
            </w:pPr>
            <w:r>
              <w:rPr>
                <w:color w:val="1B1C19"/>
                <w:sz w:val="14"/>
              </w:rPr>
              <w:t>There is a clear plan to mitigate, redesign, fund, transfer, retire, or renew the risk.</w:t>
            </w:r>
          </w:p>
        </w:tc>
      </w:tr>
      <w:tr>
        <w:trPr>
          <w:cantSplit/>
        </w:trPr>
        <w:tc>
          <w:tcPr>
            <w:tcW w:type="dxa" w:w="2300"/>
            <w:vAlign w:val="top"/>
            <w:shd w:fill="F0EEE9"/>
          </w:tcPr>
          <w:p>
            <w:pPr>
              <w:spacing w:after="20" w:before="0" w:line="240" w:lineRule="auto"/>
            </w:pPr>
            <w:r>
              <w:rPr>
                <w:color w:val="1B1C19"/>
                <w:sz w:val="14"/>
              </w:rPr>
              <w:t>Auditability</w:t>
            </w:r>
          </w:p>
        </w:tc>
        <w:tc>
          <w:tcPr>
            <w:tcW w:type="dxa" w:w="1000"/>
            <w:vAlign w:val="top"/>
            <w:shd w:fill="F0EEE9"/>
          </w:tcPr>
          <w:p>
            <w:pPr>
              <w:spacing w:after="20" w:before="0" w:line="240" w:lineRule="auto"/>
            </w:pPr>
            <w:r>
              <w:rPr>
                <w:color w:val="1B1C19"/>
                <w:sz w:val="14"/>
              </w:rPr>
              <w:t>0-5</w:t>
            </w:r>
          </w:p>
        </w:tc>
        <w:tc>
          <w:tcPr>
            <w:tcW w:type="dxa" w:w="5700"/>
            <w:vAlign w:val="top"/>
            <w:shd w:fill="F0EEE9"/>
          </w:tcPr>
          <w:p>
            <w:pPr>
              <w:spacing w:after="20" w:before="0" w:line="240" w:lineRule="auto"/>
            </w:pPr>
            <w:r>
              <w:rPr>
                <w:color w:val="1B1C19"/>
                <w:sz w:val="14"/>
              </w:rPr>
              <w:t>A reviewer can replay why the risk was accepted, who approved it, what evidence supported it, and what changed after acceptance.</w:t>
            </w:r>
          </w:p>
        </w:tc>
      </w:tr>
    </w:tbl>
    <w:p/>
    <w:p>
      <w:pPr>
        <w:spacing w:after="100"/>
      </w:pPr>
      <w:r>
        <w:rPr>
          <w:rFonts w:ascii="Aptos" w:hAnsi="Aptos"/>
          <w:color w:val="1B1C19"/>
          <w:sz w:val="17"/>
        </w:rPr>
        <w:t>Suggested readiness score: average the ten scores, then classify 0-1.9 as Hidden or informal risk acceptance, 2.0-3.4 as Documented but weakly governed risk acceptance, 3.5-4.4 as Governed risk acceptance register, and 4.5-5.0 as AI-ready risk acceptance architecture.</w:t>
      </w:r>
    </w:p>
    <w:p>
      <w:r>
        <w:br w:type="page"/>
      </w:r>
    </w:p>
    <w:p>
      <w:pPr>
        <w:pStyle w:val="Heading1"/>
      </w:pPr>
      <w:r>
        <w:rPr>
          <w:rFonts w:ascii="Aptos Display" w:hAnsi="Aptos Display"/>
          <w:color w:val="2D3924"/>
        </w:rPr>
        <w:t>AI prompts</w:t>
      </w:r>
    </w:p>
    <w:p>
      <w:pPr>
        <w:pStyle w:val="ListBullet"/>
      </w:pPr>
      <w:r>
        <w:rPr>
          <w:color w:val="1B1C19"/>
          <w:sz w:val="17"/>
        </w:rPr>
        <w:t>Given this risk statement, classify the risk category, affected LPM layer, severity, likely owner, approval authority, evidence requirement, and governance route.</w:t>
      </w:r>
    </w:p>
    <w:p>
      <w:pPr>
        <w:pStyle w:val="ListBullet"/>
      </w:pPr>
      <w:r>
        <w:rPr>
          <w:color w:val="1B1C19"/>
          <w:sz w:val="17"/>
        </w:rPr>
        <w:t>Review this proposed risk acceptance and identify missing owner, weak evidence, unclear approval authority, missing controls, stale review date, and undefined AI boundary.</w:t>
      </w:r>
    </w:p>
    <w:p>
      <w:pPr>
        <w:pStyle w:val="ListBullet"/>
      </w:pPr>
      <w:r>
        <w:rPr>
          <w:color w:val="1B1C19"/>
          <w:sz w:val="17"/>
        </w:rPr>
        <w:t>Determine whether this risk should be accepted, mitigated, transferred, avoided, escalated, redesigned, or blocked based on severity, evidence, controls, and AI involvement.</w:t>
      </w:r>
    </w:p>
    <w:p>
      <w:pPr>
        <w:pStyle w:val="ListBullet"/>
      </w:pPr>
      <w:r>
        <w:rPr>
          <w:color w:val="1B1C19"/>
          <w:sz w:val="17"/>
        </w:rPr>
        <w:t>Score the risk acceptance from 0 to 5 across risk clarity, ownership clarity, authority fit, evidence strength, control coverage, AI boundary clarity, expiration discipline, escalation readiness, remediation path, and auditability.</w:t>
      </w:r>
    </w:p>
    <w:p>
      <w:pPr>
        <w:pStyle w:val="ListBullet"/>
      </w:pPr>
      <w:r>
        <w:rPr>
          <w:color w:val="1B1C19"/>
          <w:sz w:val="17"/>
        </w:rPr>
        <w:t>Generate the minimum evidence package required before this risk can be accepted by governance.</w:t>
      </w:r>
    </w:p>
    <w:p>
      <w:pPr>
        <w:pStyle w:val="ListBullet"/>
      </w:pPr>
      <w:r>
        <w:rPr>
          <w:color w:val="1B1C19"/>
          <w:sz w:val="17"/>
        </w:rPr>
        <w:t>Draft acceptance terms including owner, rationale, residual risk, controls, expiration date, review cadence, trigger conditions, escalation route, and closure rule.</w:t>
      </w:r>
    </w:p>
    <w:p>
      <w:pPr>
        <w:pStyle w:val="ListBullet"/>
      </w:pPr>
      <w:r>
        <w:rPr>
          <w:color w:val="1B1C19"/>
          <w:sz w:val="17"/>
        </w:rPr>
        <w:t>Convert this risk acceptance register row into Lapemo objects for risk, owner, control, evidence, decision, platform, AI boundary, issue, and governance route.</w:t>
      </w:r>
    </w:p>
    <w:p>
      <w:pPr>
        <w:pStyle w:val="Heading1"/>
      </w:pPr>
      <w:r>
        <w:rPr>
          <w:rFonts w:ascii="Aptos Display" w:hAnsi="Aptos Display"/>
          <w:color w:val="2D3924"/>
        </w:rPr>
        <w:t>Validation rules</w:t>
      </w:r>
    </w:p>
    <w:p>
      <w:pPr>
        <w:pStyle w:val="ListBullet"/>
      </w:pPr>
      <w:r>
        <w:rPr>
          <w:color w:val="1B1C19"/>
          <w:sz w:val="17"/>
        </w:rPr>
        <w:t>Every accepted risk must have one accountable risk owner.</w:t>
      </w:r>
    </w:p>
    <w:p>
      <w:pPr>
        <w:pStyle w:val="ListBullet"/>
      </w:pPr>
      <w:r>
        <w:rPr>
          <w:color w:val="1B1C19"/>
          <w:sz w:val="17"/>
        </w:rPr>
        <w:t>Every accepted risk must have a clear approval authority that matches severity, policy, regulation, financial exposure, customer impact, and AI involvement.</w:t>
      </w:r>
    </w:p>
    <w:p>
      <w:pPr>
        <w:pStyle w:val="ListBullet"/>
      </w:pPr>
      <w:r>
        <w:rPr>
          <w:color w:val="1B1C19"/>
          <w:sz w:val="17"/>
        </w:rPr>
        <w:t>Every accepted risk must include risk statement, business context, impacted objective, inherent risk, residual risk, and acceptance rationale.</w:t>
      </w:r>
    </w:p>
    <w:p>
      <w:pPr>
        <w:pStyle w:val="ListBullet"/>
      </w:pPr>
      <w:r>
        <w:rPr>
          <w:color w:val="1B1C19"/>
          <w:sz w:val="17"/>
        </w:rPr>
        <w:t>Every accepted risk must include evidence package, evidence owner, source, freshness, and confidence level.</w:t>
      </w:r>
    </w:p>
    <w:p>
      <w:pPr>
        <w:pStyle w:val="ListBullet"/>
      </w:pPr>
      <w:r>
        <w:rPr>
          <w:color w:val="1B1C19"/>
          <w:sz w:val="17"/>
        </w:rPr>
        <w:t>Every accepted risk must include expiration date, review cadence, trigger conditions, and closure or renewal rule.</w:t>
      </w:r>
    </w:p>
    <w:p>
      <w:pPr>
        <w:pStyle w:val="ListBullet"/>
      </w:pPr>
      <w:r>
        <w:rPr>
          <w:color w:val="1B1C19"/>
          <w:sz w:val="17"/>
        </w:rPr>
        <w:t>Every accepted risk must include escalation path and remediation owner.</w:t>
      </w:r>
    </w:p>
    <w:p>
      <w:pPr>
        <w:pStyle w:val="ListBullet"/>
      </w:pPr>
      <w:r>
        <w:rPr>
          <w:color w:val="1B1C19"/>
          <w:sz w:val="17"/>
        </w:rPr>
        <w:t>Every risk involving AI must define allowed AI actions, blocked AI actions, human review rule, logging rule, retrieval boundary, and kill-switch or stop path.</w:t>
      </w:r>
    </w:p>
    <w:p>
      <w:pPr>
        <w:pStyle w:val="ListBullet"/>
      </w:pPr>
      <w:r>
        <w:rPr>
          <w:color w:val="1B1C19"/>
          <w:sz w:val="17"/>
        </w:rPr>
        <w:t>Accepted risk cannot remain active past expiration without renewal evidence and renewed approval.</w:t>
      </w:r>
    </w:p>
    <w:p>
      <w:pPr>
        <w:pStyle w:val="ListBullet"/>
      </w:pPr>
      <w:r>
        <w:rPr>
          <w:color w:val="1B1C19"/>
          <w:sz w:val="17"/>
        </w:rPr>
        <w:t>Repeated acceptance of the same risk must trigger control redesign, funding decision, process redesign, or executive escalation.</w:t>
      </w:r>
    </w:p>
    <w:p>
      <w:pPr>
        <w:pStyle w:val="ListBullet"/>
      </w:pPr>
      <w:r>
        <w:rPr>
          <w:color w:val="1B1C19"/>
          <w:sz w:val="17"/>
        </w:rPr>
        <w:t>Status must never be encoded only by color. Use labels such as draft, pending approval, accepted, active monitoring, expired, escalated, remediated, superseded, rejected, or retired.</w:t>
      </w:r>
    </w:p>
    <w:p>
      <w:pPr>
        <w:pStyle w:val="Heading1"/>
      </w:pPr>
      <w:r>
        <w:rPr>
          <w:rFonts w:ascii="Aptos Display" w:hAnsi="Aptos Display"/>
          <w:color w:val="2D3924"/>
        </w:rPr>
        <w:t>Lapemo ingestion mapping</w:t>
      </w:r>
    </w:p>
    <w:tbl>
      <w:tblPr>
        <w:tblStyle w:val="TableGrid"/>
        <w:tblW w:type="auto" w:w="0"/>
        <w:jc w:val="center"/>
        <w:tblLook w:firstColumn="1" w:firstRow="1" w:lastColumn="0" w:lastRow="0" w:noHBand="0" w:noVBand="1" w:val="04A0"/>
      </w:tblPr>
      <w:tblGrid>
        <w:gridCol w:w="3552"/>
        <w:gridCol w:w="3552"/>
        <w:gridCol w:w="3552"/>
      </w:tblGrid>
      <w:tr>
        <w:trPr>
          <w:cantSplit/>
        </w:trPr>
        <w:tc>
          <w:tcPr>
            <w:tcW w:type="dxa" w:w="2200"/>
            <w:vAlign w:val="top"/>
            <w:shd w:fill="2D3924"/>
          </w:tcPr>
          <w:p>
            <w:pPr>
              <w:spacing w:after="20" w:before="0" w:line="240" w:lineRule="auto"/>
            </w:pPr>
            <w:r>
              <w:rPr>
                <w:b/>
                <w:color w:val="FFFFFF"/>
                <w:sz w:val="15"/>
              </w:rPr>
              <w:t>Lapemo object</w:t>
            </w:r>
          </w:p>
        </w:tc>
        <w:tc>
          <w:tcPr>
            <w:tcW w:type="dxa" w:w="3900"/>
            <w:vAlign w:val="top"/>
            <w:shd w:fill="2D3924"/>
          </w:tcPr>
          <w:p>
            <w:pPr>
              <w:spacing w:after="20" w:before="0" w:line="240" w:lineRule="auto"/>
            </w:pPr>
            <w:r>
              <w:rPr>
                <w:b/>
                <w:color w:val="FFFFFF"/>
                <w:sz w:val="15"/>
              </w:rPr>
              <w:t>Fields / entities</w:t>
            </w:r>
          </w:p>
        </w:tc>
        <w:tc>
          <w:tcPr>
            <w:tcW w:type="dxa" w:w="3300"/>
            <w:vAlign w:val="top"/>
            <w:shd w:fill="2D3924"/>
          </w:tcPr>
          <w:p>
            <w:pPr>
              <w:spacing w:after="20" w:before="0" w:line="240" w:lineRule="auto"/>
            </w:pPr>
            <w:r>
              <w:rPr>
                <w:b/>
                <w:color w:val="FFFFFF"/>
                <w:sz w:val="15"/>
              </w:rPr>
              <w:t>Use</w:t>
            </w:r>
          </w:p>
        </w:tc>
      </w:tr>
      <w:tr>
        <w:trPr>
          <w:cantSplit/>
        </w:trPr>
        <w:tc>
          <w:tcPr>
            <w:tcW w:type="dxa" w:w="2200"/>
            <w:vAlign w:val="top"/>
          </w:tcPr>
          <w:p>
            <w:pPr>
              <w:spacing w:after="20" w:before="0" w:line="240" w:lineRule="auto"/>
            </w:pPr>
            <w:r>
              <w:rPr>
                <w:color w:val="1B1C19"/>
                <w:sz w:val="14"/>
              </w:rPr>
              <w:t>Knowledge object</w:t>
            </w:r>
          </w:p>
        </w:tc>
        <w:tc>
          <w:tcPr>
            <w:tcW w:type="dxa" w:w="3900"/>
            <w:vAlign w:val="top"/>
          </w:tcPr>
          <w:p>
            <w:pPr>
              <w:spacing w:after="20" w:before="0" w:line="240" w:lineRule="auto"/>
            </w:pPr>
            <w:r>
              <w:rPr>
                <w:color w:val="1B1C19"/>
                <w:sz w:val="14"/>
              </w:rPr>
              <w:t>Risk Acceptance Register</w:t>
            </w:r>
          </w:p>
        </w:tc>
        <w:tc>
          <w:tcPr>
            <w:tcW w:type="dxa" w:w="3300"/>
            <w:vAlign w:val="top"/>
          </w:tcPr>
          <w:p>
            <w:pPr>
              <w:spacing w:after="20" w:before="0" w:line="240" w:lineRule="auto"/>
            </w:pPr>
            <w:r>
              <w:rPr>
                <w:color w:val="1B1C19"/>
                <w:sz w:val="14"/>
              </w:rPr>
              <w:t>Canonical reusable artifact for governance-layer risk acceptance and monitoring.</w:t>
            </w:r>
          </w:p>
        </w:tc>
      </w:tr>
      <w:tr>
        <w:trPr>
          <w:cantSplit/>
        </w:trPr>
        <w:tc>
          <w:tcPr>
            <w:tcW w:type="dxa" w:w="2200"/>
            <w:vAlign w:val="top"/>
            <w:shd w:fill="F0EEE9"/>
          </w:tcPr>
          <w:p>
            <w:pPr>
              <w:spacing w:after="20" w:before="0" w:line="240" w:lineRule="auto"/>
            </w:pPr>
            <w:r>
              <w:rPr>
                <w:color w:val="1B1C19"/>
                <w:sz w:val="14"/>
              </w:rPr>
              <w:t>Risk object</w:t>
            </w:r>
          </w:p>
        </w:tc>
        <w:tc>
          <w:tcPr>
            <w:tcW w:type="dxa" w:w="3900"/>
            <w:vAlign w:val="top"/>
            <w:shd w:fill="F0EEE9"/>
          </w:tcPr>
          <w:p>
            <w:pPr>
              <w:spacing w:after="20" w:before="0" w:line="240" w:lineRule="auto"/>
            </w:pPr>
            <w:r>
              <w:rPr>
                <w:color w:val="1B1C19"/>
                <w:sz w:val="14"/>
              </w:rPr>
              <w:t>Risk ID, name, statement, category, inherent risk, residual risk, impacted objective, LPM layer, status</w:t>
            </w:r>
          </w:p>
        </w:tc>
        <w:tc>
          <w:tcPr>
            <w:tcW w:type="dxa" w:w="3300"/>
            <w:vAlign w:val="top"/>
            <w:shd w:fill="F0EEE9"/>
          </w:tcPr>
          <w:p>
            <w:pPr>
              <w:spacing w:after="20" w:before="0" w:line="240" w:lineRule="auto"/>
            </w:pPr>
            <w:r>
              <w:rPr>
                <w:color w:val="1B1C19"/>
                <w:sz w:val="14"/>
              </w:rPr>
              <w:t>Creates structured risk records that can be monitored and reviewed.</w:t>
            </w:r>
          </w:p>
        </w:tc>
      </w:tr>
      <w:tr>
        <w:trPr>
          <w:cantSplit/>
        </w:trPr>
        <w:tc>
          <w:tcPr>
            <w:tcW w:type="dxa" w:w="2200"/>
            <w:vAlign w:val="top"/>
          </w:tcPr>
          <w:p>
            <w:pPr>
              <w:spacing w:after="20" w:before="0" w:line="240" w:lineRule="auto"/>
            </w:pPr>
            <w:r>
              <w:rPr>
                <w:color w:val="1B1C19"/>
                <w:sz w:val="14"/>
              </w:rPr>
              <w:t>Ownership object</w:t>
            </w:r>
          </w:p>
        </w:tc>
        <w:tc>
          <w:tcPr>
            <w:tcW w:type="dxa" w:w="3900"/>
            <w:vAlign w:val="top"/>
          </w:tcPr>
          <w:p>
            <w:pPr>
              <w:spacing w:after="20" w:before="0" w:line="240" w:lineRule="auto"/>
            </w:pPr>
            <w:r>
              <w:rPr>
                <w:color w:val="1B1C19"/>
                <w:sz w:val="14"/>
              </w:rPr>
              <w:t>Accountable risk owner, approval authority, control owner, evidence owner, remediation owner, escalation owner</w:t>
            </w:r>
          </w:p>
        </w:tc>
        <w:tc>
          <w:tcPr>
            <w:tcW w:type="dxa" w:w="3300"/>
            <w:vAlign w:val="top"/>
          </w:tcPr>
          <w:p>
            <w:pPr>
              <w:spacing w:after="20" w:before="0" w:line="240" w:lineRule="auto"/>
            </w:pPr>
            <w:r>
              <w:rPr>
                <w:color w:val="1B1C19"/>
                <w:sz w:val="14"/>
              </w:rPr>
              <w:t>Connects accepted risk to accountable humans and governance forums.</w:t>
            </w:r>
          </w:p>
        </w:tc>
      </w:tr>
      <w:tr>
        <w:trPr>
          <w:cantSplit/>
        </w:trPr>
        <w:tc>
          <w:tcPr>
            <w:tcW w:type="dxa" w:w="2200"/>
            <w:vAlign w:val="top"/>
            <w:shd w:fill="F0EEE9"/>
          </w:tcPr>
          <w:p>
            <w:pPr>
              <w:spacing w:after="20" w:before="0" w:line="240" w:lineRule="auto"/>
            </w:pPr>
            <w:r>
              <w:rPr>
                <w:color w:val="1B1C19"/>
                <w:sz w:val="14"/>
              </w:rPr>
              <w:t>Decision object</w:t>
            </w:r>
          </w:p>
        </w:tc>
        <w:tc>
          <w:tcPr>
            <w:tcW w:type="dxa" w:w="3900"/>
            <w:vAlign w:val="top"/>
            <w:shd w:fill="F0EEE9"/>
          </w:tcPr>
          <w:p>
            <w:pPr>
              <w:spacing w:after="20" w:before="0" w:line="240" w:lineRule="auto"/>
            </w:pPr>
            <w:r>
              <w:rPr>
                <w:color w:val="1B1C19"/>
                <w:sz w:val="14"/>
              </w:rPr>
              <w:t>Acceptance rationale, alternatives considered, approval decision, decision date, approving forum</w:t>
            </w:r>
          </w:p>
        </w:tc>
        <w:tc>
          <w:tcPr>
            <w:tcW w:type="dxa" w:w="3300"/>
            <w:vAlign w:val="top"/>
            <w:shd w:fill="F0EEE9"/>
          </w:tcPr>
          <w:p>
            <w:pPr>
              <w:spacing w:after="20" w:before="0" w:line="240" w:lineRule="auto"/>
            </w:pPr>
            <w:r>
              <w:rPr>
                <w:color w:val="1B1C19"/>
                <w:sz w:val="14"/>
              </w:rPr>
              <w:t>Connects risk acceptance to decision logs and decision rights.</w:t>
            </w:r>
          </w:p>
        </w:tc>
      </w:tr>
      <w:tr>
        <w:trPr>
          <w:cantSplit/>
        </w:trPr>
        <w:tc>
          <w:tcPr>
            <w:tcW w:type="dxa" w:w="2200"/>
            <w:vAlign w:val="top"/>
          </w:tcPr>
          <w:p>
            <w:pPr>
              <w:spacing w:after="20" w:before="0" w:line="240" w:lineRule="auto"/>
            </w:pPr>
            <w:r>
              <w:rPr>
                <w:color w:val="1B1C19"/>
                <w:sz w:val="14"/>
              </w:rPr>
              <w:t>Control object</w:t>
            </w:r>
          </w:p>
        </w:tc>
        <w:tc>
          <w:tcPr>
            <w:tcW w:type="dxa" w:w="3900"/>
            <w:vAlign w:val="top"/>
          </w:tcPr>
          <w:p>
            <w:pPr>
              <w:spacing w:after="20" w:before="0" w:line="240" w:lineRule="auto"/>
            </w:pPr>
            <w:r>
              <w:rPr>
                <w:color w:val="1B1C19"/>
                <w:sz w:val="14"/>
              </w:rPr>
              <w:t>Controls, mitigations, compensating controls, monitoring rules, failure conditions</w:t>
            </w:r>
          </w:p>
        </w:tc>
        <w:tc>
          <w:tcPr>
            <w:tcW w:type="dxa" w:w="3300"/>
            <w:vAlign w:val="top"/>
          </w:tcPr>
          <w:p>
            <w:pPr>
              <w:spacing w:after="20" w:before="0" w:line="240" w:lineRule="auto"/>
            </w:pPr>
            <w:r>
              <w:rPr>
                <w:color w:val="1B1C19"/>
                <w:sz w:val="14"/>
              </w:rPr>
              <w:t>Links accepted risk to bounded operating controls.</w:t>
            </w:r>
          </w:p>
        </w:tc>
      </w:tr>
      <w:tr>
        <w:trPr>
          <w:cantSplit/>
        </w:trPr>
        <w:tc>
          <w:tcPr>
            <w:tcW w:type="dxa" w:w="2200"/>
            <w:vAlign w:val="top"/>
            <w:shd w:fill="F0EEE9"/>
          </w:tcPr>
          <w:p>
            <w:pPr>
              <w:spacing w:after="20" w:before="0" w:line="240" w:lineRule="auto"/>
            </w:pPr>
            <w:r>
              <w:rPr>
                <w:color w:val="1B1C19"/>
                <w:sz w:val="14"/>
              </w:rPr>
              <w:t>Evidence object</w:t>
            </w:r>
          </w:p>
        </w:tc>
        <w:tc>
          <w:tcPr>
            <w:tcW w:type="dxa" w:w="3900"/>
            <w:vAlign w:val="top"/>
            <w:shd w:fill="F0EEE9"/>
          </w:tcPr>
          <w:p>
            <w:pPr>
              <w:spacing w:after="20" w:before="0" w:line="240" w:lineRule="auto"/>
            </w:pPr>
            <w:r>
              <w:rPr>
                <w:color w:val="1B1C19"/>
                <w:sz w:val="14"/>
              </w:rPr>
              <w:t>Evidence package, source, owner, freshness, confidence, storage location</w:t>
            </w:r>
          </w:p>
        </w:tc>
        <w:tc>
          <w:tcPr>
            <w:tcW w:type="dxa" w:w="3300"/>
            <w:vAlign w:val="top"/>
            <w:shd w:fill="F0EEE9"/>
          </w:tcPr>
          <w:p>
            <w:pPr>
              <w:spacing w:after="20" w:before="0" w:line="240" w:lineRule="auto"/>
            </w:pPr>
            <w:r>
              <w:rPr>
                <w:color w:val="1B1C19"/>
                <w:sz w:val="14"/>
              </w:rPr>
              <w:t>Turns acceptance into inspectable proof.</w:t>
            </w:r>
          </w:p>
        </w:tc>
      </w:tr>
      <w:tr>
        <w:trPr>
          <w:cantSplit/>
        </w:trPr>
        <w:tc>
          <w:tcPr>
            <w:tcW w:type="dxa" w:w="2200"/>
            <w:vAlign w:val="top"/>
          </w:tcPr>
          <w:p>
            <w:pPr>
              <w:spacing w:after="20" w:before="0" w:line="240" w:lineRule="auto"/>
            </w:pPr>
            <w:r>
              <w:rPr>
                <w:color w:val="1B1C19"/>
                <w:sz w:val="14"/>
              </w:rPr>
              <w:t>Platform object</w:t>
            </w:r>
          </w:p>
        </w:tc>
        <w:tc>
          <w:tcPr>
            <w:tcW w:type="dxa" w:w="3900"/>
            <w:vAlign w:val="top"/>
          </w:tcPr>
          <w:p>
            <w:pPr>
              <w:spacing w:after="20" w:before="0" w:line="240" w:lineRule="auto"/>
            </w:pPr>
            <w:r>
              <w:rPr>
                <w:color w:val="1B1C19"/>
                <w:sz w:val="14"/>
              </w:rPr>
              <w:t>Affected systems, integrations, workflows, dashboards, logs, source systems</w:t>
            </w:r>
          </w:p>
        </w:tc>
        <w:tc>
          <w:tcPr>
            <w:tcW w:type="dxa" w:w="3300"/>
            <w:vAlign w:val="top"/>
          </w:tcPr>
          <w:p>
            <w:pPr>
              <w:spacing w:after="20" w:before="0" w:line="240" w:lineRule="auto"/>
            </w:pPr>
            <w:r>
              <w:rPr>
                <w:color w:val="1B1C19"/>
                <w:sz w:val="14"/>
              </w:rPr>
              <w:t>Connects accepted risk to platforms and system dependencies.</w:t>
            </w:r>
          </w:p>
        </w:tc>
      </w:tr>
      <w:tr>
        <w:trPr>
          <w:cantSplit/>
        </w:trPr>
        <w:tc>
          <w:tcPr>
            <w:tcW w:type="dxa" w:w="2200"/>
            <w:vAlign w:val="top"/>
            <w:shd w:fill="F0EEE9"/>
          </w:tcPr>
          <w:p>
            <w:pPr>
              <w:spacing w:after="20" w:before="0" w:line="240" w:lineRule="auto"/>
            </w:pPr>
            <w:r>
              <w:rPr>
                <w:color w:val="1B1C19"/>
                <w:sz w:val="14"/>
              </w:rPr>
              <w:t>Data object</w:t>
            </w:r>
          </w:p>
        </w:tc>
        <w:tc>
          <w:tcPr>
            <w:tcW w:type="dxa" w:w="3900"/>
            <w:vAlign w:val="top"/>
            <w:shd w:fill="F0EEE9"/>
          </w:tcPr>
          <w:p>
            <w:pPr>
              <w:spacing w:after="20" w:before="0" w:line="240" w:lineRule="auto"/>
            </w:pPr>
            <w:r>
              <w:rPr>
                <w:color w:val="1B1C19"/>
                <w:sz w:val="14"/>
              </w:rPr>
              <w:t>Data source, sensitivity, lineage, freshness, owner, AI retrieval boundary</w:t>
            </w:r>
          </w:p>
        </w:tc>
        <w:tc>
          <w:tcPr>
            <w:tcW w:type="dxa" w:w="3300"/>
            <w:vAlign w:val="top"/>
            <w:shd w:fill="F0EEE9"/>
          </w:tcPr>
          <w:p>
            <w:pPr>
              <w:spacing w:after="20" w:before="0" w:line="240" w:lineRule="auto"/>
            </w:pPr>
            <w:r>
              <w:rPr>
                <w:color w:val="1B1C19"/>
                <w:sz w:val="14"/>
              </w:rPr>
              <w:t>Connects accepted risk to information ecology and source-of-truth rules.</w:t>
            </w:r>
          </w:p>
        </w:tc>
      </w:tr>
      <w:tr>
        <w:trPr>
          <w:cantSplit/>
        </w:trPr>
        <w:tc>
          <w:tcPr>
            <w:tcW w:type="dxa" w:w="2200"/>
            <w:vAlign w:val="top"/>
          </w:tcPr>
          <w:p>
            <w:pPr>
              <w:spacing w:after="20" w:before="0" w:line="240" w:lineRule="auto"/>
            </w:pPr>
            <w:r>
              <w:rPr>
                <w:color w:val="1B1C19"/>
                <w:sz w:val="14"/>
              </w:rPr>
              <w:t>AI boundary object</w:t>
            </w:r>
          </w:p>
        </w:tc>
        <w:tc>
          <w:tcPr>
            <w:tcW w:type="dxa" w:w="3900"/>
            <w:vAlign w:val="top"/>
          </w:tcPr>
          <w:p>
            <w:pPr>
              <w:spacing w:after="20" w:before="0" w:line="240" w:lineRule="auto"/>
            </w:pPr>
            <w:r>
              <w:rPr>
                <w:color w:val="1B1C19"/>
                <w:sz w:val="14"/>
              </w:rPr>
              <w:t>AI involvement, allowed actions, blocked actions, human review, logs, kill switch</w:t>
            </w:r>
          </w:p>
        </w:tc>
        <w:tc>
          <w:tcPr>
            <w:tcW w:type="dxa" w:w="3300"/>
            <w:vAlign w:val="top"/>
          </w:tcPr>
          <w:p>
            <w:pPr>
              <w:spacing w:after="20" w:before="0" w:line="240" w:lineRule="auto"/>
            </w:pPr>
            <w:r>
              <w:rPr>
                <w:color w:val="1B1C19"/>
                <w:sz w:val="14"/>
              </w:rPr>
              <w:t>Controls AI behavior while risk is accepted.</w:t>
            </w:r>
          </w:p>
        </w:tc>
      </w:tr>
      <w:tr>
        <w:trPr>
          <w:cantSplit/>
        </w:trPr>
        <w:tc>
          <w:tcPr>
            <w:tcW w:type="dxa" w:w="2200"/>
            <w:vAlign w:val="top"/>
            <w:shd w:fill="F0EEE9"/>
          </w:tcPr>
          <w:p>
            <w:pPr>
              <w:spacing w:after="20" w:before="0" w:line="240" w:lineRule="auto"/>
            </w:pPr>
            <w:r>
              <w:rPr>
                <w:color w:val="1B1C19"/>
                <w:sz w:val="14"/>
              </w:rPr>
              <w:t>Issue / escalation object</w:t>
            </w:r>
          </w:p>
        </w:tc>
        <w:tc>
          <w:tcPr>
            <w:tcW w:type="dxa" w:w="3900"/>
            <w:vAlign w:val="top"/>
            <w:shd w:fill="F0EEE9"/>
          </w:tcPr>
          <w:p>
            <w:pPr>
              <w:spacing w:after="20" w:before="0" w:line="240" w:lineRule="auto"/>
            </w:pPr>
            <w:r>
              <w:rPr>
                <w:color w:val="1B1C19"/>
                <w:sz w:val="14"/>
              </w:rPr>
              <w:t>Trigger conditions, escalation path, remediation owner, SLA, renewal or closure outcome</w:t>
            </w:r>
          </w:p>
        </w:tc>
        <w:tc>
          <w:tcPr>
            <w:tcW w:type="dxa" w:w="3300"/>
            <w:vAlign w:val="top"/>
            <w:shd w:fill="F0EEE9"/>
          </w:tcPr>
          <w:p>
            <w:pPr>
              <w:spacing w:after="20" w:before="0" w:line="240" w:lineRule="auto"/>
            </w:pPr>
            <w:r>
              <w:rPr>
                <w:color w:val="1B1C19"/>
                <w:sz w:val="14"/>
              </w:rPr>
              <w:t>Moves accepted risk into formal monitoring, escalation, and closure.</w:t>
            </w:r>
          </w:p>
        </w:tc>
      </w:tr>
    </w:tbl>
    <w:p/>
    <w:p>
      <w:pPr>
        <w:pStyle w:val="Heading1"/>
      </w:pPr>
      <w:r>
        <w:rPr>
          <w:rFonts w:ascii="Aptos Display" w:hAnsi="Aptos Display"/>
          <w:color w:val="2D3924"/>
        </w:rPr>
        <w:t>Website positioning</w:t>
      </w:r>
    </w:p>
    <w:p>
      <w:pPr>
        <w:spacing w:after="100"/>
      </w:pPr>
      <w:r>
        <w:rPr>
          <w:rFonts w:ascii="Aptos" w:hAnsi="Aptos"/>
          <w:color w:val="1B1C19"/>
          <w:sz w:val="17"/>
        </w:rPr>
        <w:t>Use this artifact as a downloadable governance-layer risk acceptance template and as a future guided skill inside Lapemo. The website version should explain that accepted risk is not a passive exception. It is an operating-model decision that must be owned, evidenced, time-bound, monitored, and connected to AI-safe governance.</w:t>
      </w:r>
    </w:p>
    <w:p>
      <w:pPr>
        <w:pStyle w:val="Heading1"/>
      </w:pPr>
      <w:r>
        <w:rPr>
          <w:rFonts w:ascii="Aptos Display" w:hAnsi="Aptos Display"/>
          <w:color w:val="2D3924"/>
        </w:rPr>
        <w:t>Reusable knowledge object structure</w:t>
      </w:r>
    </w:p>
    <w:tbl>
      <w:tblPr>
        <w:tblStyle w:val="TableGrid"/>
        <w:tblW w:type="auto" w:w="0"/>
        <w:jc w:val="center"/>
        <w:tblLook w:firstColumn="1" w:firstRow="1" w:lastColumn="0" w:lastRow="0" w:noHBand="0" w:noVBand="1" w:val="04A0"/>
      </w:tblPr>
      <w:tblGrid>
        <w:gridCol w:w="5328"/>
        <w:gridCol w:w="5328"/>
      </w:tblGrid>
      <w:tr>
        <w:trPr>
          <w:cantSplit/>
        </w:trPr>
        <w:tc>
          <w:tcPr>
            <w:tcW w:type="dxa" w:w="2400"/>
            <w:vAlign w:val="top"/>
            <w:shd w:fill="2D3924"/>
          </w:tcPr>
          <w:p>
            <w:pPr>
              <w:spacing w:after="20" w:before="0" w:line="240" w:lineRule="auto"/>
            </w:pPr>
            <w:r>
              <w:rPr>
                <w:b/>
                <w:color w:val="FFFFFF"/>
                <w:sz w:val="15"/>
              </w:rPr>
              <w:t>Layer</w:t>
            </w:r>
          </w:p>
        </w:tc>
        <w:tc>
          <w:tcPr>
            <w:tcW w:type="dxa" w:w="6600"/>
            <w:vAlign w:val="top"/>
            <w:shd w:fill="2D3924"/>
          </w:tcPr>
          <w:p>
            <w:pPr>
              <w:spacing w:after="20" w:before="0" w:line="240" w:lineRule="auto"/>
            </w:pPr>
            <w:r>
              <w:rPr>
                <w:b/>
                <w:color w:val="FFFFFF"/>
                <w:sz w:val="15"/>
              </w:rPr>
              <w:t>Reusable asset</w:t>
            </w:r>
          </w:p>
        </w:tc>
      </w:tr>
      <w:tr>
        <w:trPr>
          <w:cantSplit/>
        </w:trPr>
        <w:tc>
          <w:tcPr>
            <w:tcW w:type="dxa" w:w="2400"/>
            <w:vAlign w:val="top"/>
          </w:tcPr>
          <w:p>
            <w:pPr>
              <w:spacing w:after="20" w:before="0" w:line="240" w:lineRule="auto"/>
            </w:pPr>
            <w:r>
              <w:rPr>
                <w:color w:val="1B1C19"/>
                <w:sz w:val="14"/>
              </w:rPr>
              <w:t>Human guide</w:t>
            </w:r>
          </w:p>
        </w:tc>
        <w:tc>
          <w:tcPr>
            <w:tcW w:type="dxa" w:w="6600"/>
            <w:vAlign w:val="top"/>
          </w:tcPr>
          <w:p>
            <w:pPr>
              <w:spacing w:after="20" w:before="0" w:line="240" w:lineRule="auto"/>
            </w:pPr>
            <w:r>
              <w:rPr>
                <w:color w:val="1B1C19"/>
                <w:sz w:val="14"/>
              </w:rPr>
              <w:t>Plain-English explanation, risk categories, register template, workflow, and scale-specific versions.</w:t>
            </w:r>
          </w:p>
        </w:tc>
      </w:tr>
      <w:tr>
        <w:trPr>
          <w:cantSplit/>
        </w:trPr>
        <w:tc>
          <w:tcPr>
            <w:tcW w:type="dxa" w:w="2400"/>
            <w:vAlign w:val="top"/>
            <w:shd w:fill="F0EEE9"/>
          </w:tcPr>
          <w:p>
            <w:pPr>
              <w:spacing w:after="20" w:before="0" w:line="240" w:lineRule="auto"/>
            </w:pPr>
            <w:r>
              <w:rPr>
                <w:color w:val="1B1C19"/>
                <w:sz w:val="14"/>
              </w:rPr>
              <w:t>Downloadable template</w:t>
            </w:r>
          </w:p>
        </w:tc>
        <w:tc>
          <w:tcPr>
            <w:tcW w:type="dxa" w:w="6600"/>
            <w:vAlign w:val="top"/>
            <w:shd w:fill="F0EEE9"/>
          </w:tcPr>
          <w:p>
            <w:pPr>
              <w:spacing w:after="20" w:before="0" w:line="240" w:lineRule="auto"/>
            </w:pPr>
            <w:r>
              <w:rPr>
                <w:color w:val="1B1C19"/>
                <w:sz w:val="14"/>
              </w:rPr>
              <w:t>DOCX and PDF for governance workshops, risk reviews, executive briefings, and website downloads.</w:t>
            </w:r>
          </w:p>
        </w:tc>
      </w:tr>
      <w:tr>
        <w:trPr>
          <w:cantSplit/>
        </w:trPr>
        <w:tc>
          <w:tcPr>
            <w:tcW w:type="dxa" w:w="2400"/>
            <w:vAlign w:val="top"/>
          </w:tcPr>
          <w:p>
            <w:pPr>
              <w:spacing w:after="20" w:before="0" w:line="240" w:lineRule="auto"/>
            </w:pPr>
            <w:r>
              <w:rPr>
                <w:color w:val="1B1C19"/>
                <w:sz w:val="14"/>
              </w:rPr>
              <w:t>Machine-readable schema</w:t>
            </w:r>
          </w:p>
        </w:tc>
        <w:tc>
          <w:tcPr>
            <w:tcW w:type="dxa" w:w="6600"/>
            <w:vAlign w:val="top"/>
          </w:tcPr>
          <w:p>
            <w:pPr>
              <w:spacing w:after="20" w:before="0" w:line="240" w:lineRule="auto"/>
            </w:pPr>
            <w:r>
              <w:rPr>
                <w:color w:val="1B1C19"/>
                <w:sz w:val="14"/>
              </w:rPr>
              <w:t>JSON object with required fields, scoring logic, prompts, validation rules, and Lapemo mappings.</w:t>
            </w:r>
          </w:p>
        </w:tc>
      </w:tr>
      <w:tr>
        <w:trPr>
          <w:cantSplit/>
        </w:trPr>
        <w:tc>
          <w:tcPr>
            <w:tcW w:type="dxa" w:w="2400"/>
            <w:vAlign w:val="top"/>
            <w:shd w:fill="F0EEE9"/>
          </w:tcPr>
          <w:p>
            <w:pPr>
              <w:spacing w:after="20" w:before="0" w:line="240" w:lineRule="auto"/>
            </w:pPr>
            <w:r>
              <w:rPr>
                <w:color w:val="1B1C19"/>
                <w:sz w:val="14"/>
              </w:rPr>
              <w:t>Guided skill</w:t>
            </w:r>
          </w:p>
        </w:tc>
        <w:tc>
          <w:tcPr>
            <w:tcW w:type="dxa" w:w="6600"/>
            <w:vAlign w:val="top"/>
            <w:shd w:fill="F0EEE9"/>
          </w:tcPr>
          <w:p>
            <w:pPr>
              <w:spacing w:after="20" w:before="0" w:line="240" w:lineRule="auto"/>
            </w:pPr>
            <w:r>
              <w:rPr>
                <w:color w:val="1B1C19"/>
                <w:sz w:val="14"/>
              </w:rPr>
              <w:t>Future Lapemo workflow that asks risk acceptance questions, scores readiness, validates evidence, checks AI boundaries, and recommends closure or escalation.</w:t>
            </w:r>
          </w:p>
        </w:tc>
      </w:tr>
    </w:tbl>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05A"/>
        <w:sz w:val="16"/>
      </w:rPr>
      <w:t>LPM / Lapemo · reusable operating-model artifact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E605A"/>
        <w:sz w:val="16"/>
      </w:rPr>
      <w:t>LPM Knowledge Object · Risk Acceptance Register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B1C19"/>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D3924"/>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D392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D39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Acceptance Register</dc:title>
  <dc:subject>Reusable LPM Knowledge Object</dc:subject>
  <dc:creator>LPM / Lapemo</dc:creator>
  <cp:keywords/>
  <dc:description/>
  <cp:lastModifiedBy>LPM / Lapemo</cp:lastModifiedBy>
  <cp:revision>1</cp:revision>
  <dcterms:created xsi:type="dcterms:W3CDTF">2013-12-23T23:15:00Z</dcterms:created>
  <dcterms:modified xsi:type="dcterms:W3CDTF">2013-12-23T23:15:00Z</dcterms:modified>
  <cp:category/>
</cp:coreProperties>
</file>